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1224" w:rsidRPr="000A64D8" w:rsidRDefault="00241044" w:rsidP="00C41224">
      <w:pPr>
        <w:tabs>
          <w:tab w:val="right" w:pos="10000"/>
        </w:tabs>
        <w:spacing w:after="0"/>
        <w:rPr>
          <w:rFonts w:ascii="Arial" w:hAnsi="Arial" w:cs="Arial"/>
          <w:b/>
          <w:sz w:val="24"/>
          <w:szCs w:val="24"/>
        </w:rPr>
      </w:pPr>
      <w:bookmarkStart w:id="0" w:name="_GoBack"/>
      <w:bookmarkEnd w:id="0"/>
      <w:r w:rsidRPr="0052548E">
        <w:rPr>
          <w:rFonts w:ascii="Arial" w:hAnsi="Arial" w:cs="Arial"/>
          <w:b/>
          <w:bCs/>
          <w:sz w:val="28"/>
        </w:rPr>
        <w:t xml:space="preserve">3GPP TSG RAN WG1 </w:t>
      </w:r>
      <w:r w:rsidRPr="0056514C">
        <w:rPr>
          <w:rFonts w:ascii="Arial" w:hAnsi="Arial" w:cs="Arial"/>
          <w:b/>
          <w:bCs/>
          <w:sz w:val="28"/>
        </w:rPr>
        <w:t>NR Ad-Hoc</w:t>
      </w:r>
      <w:r w:rsidRPr="009C51DF">
        <w:rPr>
          <w:rFonts w:ascii="Arial" w:eastAsia="MS Mincho" w:hAnsi="Arial" w:cs="Arial" w:hint="eastAsia"/>
          <w:b/>
          <w:bCs/>
          <w:sz w:val="28"/>
          <w:lang w:eastAsia="ja-JP"/>
        </w:rPr>
        <w:t>#2</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eastAsia="MS Mincho" w:hAnsi="Arial" w:cs="Arial" w:hint="eastAsia"/>
          <w:b/>
          <w:bCs/>
          <w:sz w:val="28"/>
          <w:lang w:eastAsia="ja-JP"/>
        </w:rPr>
        <w:t xml:space="preserve">   </w:t>
      </w:r>
      <w:r w:rsidRPr="009513AC">
        <w:rPr>
          <w:rFonts w:ascii="Arial" w:eastAsia="MS Mincho" w:hAnsi="Arial" w:cs="Arial" w:hint="eastAsia"/>
          <w:b/>
          <w:bCs/>
          <w:sz w:val="28"/>
          <w:lang w:eastAsia="ja-JP"/>
        </w:rPr>
        <w:t xml:space="preserve">    </w:t>
      </w:r>
      <w:r w:rsidR="00C41224" w:rsidRPr="000A64D8">
        <w:rPr>
          <w:rFonts w:ascii="Arial" w:hAnsi="Arial" w:cs="Arial"/>
          <w:b/>
          <w:sz w:val="24"/>
          <w:szCs w:val="24"/>
        </w:rPr>
        <w:tab/>
      </w:r>
      <w:r w:rsidR="00C41224" w:rsidRPr="005D7472">
        <w:rPr>
          <w:rFonts w:ascii="Arial" w:hAnsi="Arial" w:cs="Arial"/>
          <w:b/>
          <w:sz w:val="28"/>
          <w:szCs w:val="24"/>
        </w:rPr>
        <w:t>R1-</w:t>
      </w:r>
      <w:r w:rsidR="00815865">
        <w:rPr>
          <w:rFonts w:ascii="Arial" w:hAnsi="Arial" w:cs="Arial"/>
          <w:b/>
          <w:sz w:val="28"/>
          <w:szCs w:val="24"/>
        </w:rPr>
        <w:t>1710438</w:t>
      </w:r>
    </w:p>
    <w:p w:rsidR="00C41224" w:rsidRPr="00FD021C" w:rsidRDefault="00C41224" w:rsidP="00C41224">
      <w:pPr>
        <w:tabs>
          <w:tab w:val="right" w:pos="9630"/>
        </w:tabs>
        <w:spacing w:after="0"/>
        <w:jc w:val="both"/>
        <w:rPr>
          <w:rFonts w:ascii="Arial" w:hAnsi="Arial" w:cs="Arial"/>
          <w:b/>
          <w:sz w:val="24"/>
          <w:szCs w:val="24"/>
        </w:rPr>
      </w:pPr>
      <w:r>
        <w:rPr>
          <w:rFonts w:ascii="Arial" w:hAnsi="Arial" w:cs="Arial"/>
          <w:b/>
          <w:sz w:val="24"/>
          <w:szCs w:val="24"/>
        </w:rPr>
        <w:t>27</w:t>
      </w:r>
      <w:r>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30</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June</w:t>
      </w:r>
      <w:r>
        <w:rPr>
          <w:rFonts w:ascii="Arial" w:hAnsi="Arial" w:cs="Arial"/>
          <w:b/>
          <w:bCs/>
          <w:sz w:val="28"/>
        </w:rPr>
        <w:t xml:space="preserve"> </w:t>
      </w:r>
      <w:r>
        <w:rPr>
          <w:rFonts w:ascii="Arial" w:hAnsi="Arial" w:cs="Arial"/>
          <w:b/>
          <w:sz w:val="24"/>
          <w:szCs w:val="24"/>
        </w:rPr>
        <w:t>2017</w:t>
      </w:r>
    </w:p>
    <w:p w:rsidR="00C41224" w:rsidRPr="00FD021C" w:rsidRDefault="00C41224" w:rsidP="00C41224">
      <w:pPr>
        <w:spacing w:after="0"/>
        <w:jc w:val="both"/>
        <w:rPr>
          <w:rFonts w:ascii="Arial" w:hAnsi="Arial" w:cs="Arial"/>
          <w:b/>
          <w:sz w:val="24"/>
          <w:szCs w:val="24"/>
        </w:rPr>
      </w:pPr>
      <w:r>
        <w:rPr>
          <w:rFonts w:ascii="Arial" w:hAnsi="Arial" w:cs="Arial"/>
          <w:b/>
          <w:sz w:val="24"/>
          <w:szCs w:val="24"/>
        </w:rPr>
        <w:t>Qingdao, P. R. China</w:t>
      </w:r>
    </w:p>
    <w:p w:rsidR="00C41224" w:rsidRPr="000A64D8" w:rsidRDefault="00C41224" w:rsidP="00C41224">
      <w:pPr>
        <w:pStyle w:val="Footer"/>
        <w:jc w:val="both"/>
        <w:rPr>
          <w:noProof w:val="0"/>
        </w:rPr>
      </w:pPr>
    </w:p>
    <w:p w:rsidR="00C41224" w:rsidRPr="000A64D8" w:rsidRDefault="00C41224" w:rsidP="00C41224">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815865">
        <w:rPr>
          <w:rFonts w:ascii="Arial" w:hAnsi="Arial"/>
          <w:sz w:val="24"/>
        </w:rPr>
        <w:t>5.1.3.1.4.1</w:t>
      </w:r>
      <w:r>
        <w:rPr>
          <w:rFonts w:ascii="Arial" w:hAnsi="Arial"/>
          <w:sz w:val="24"/>
        </w:rPr>
        <w:tab/>
      </w:r>
    </w:p>
    <w:p w:rsidR="00C41224" w:rsidRPr="001D7377" w:rsidRDefault="00C41224" w:rsidP="00C4122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C41224" w:rsidRPr="003570F9" w:rsidRDefault="00C41224" w:rsidP="00C41224">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15865">
        <w:rPr>
          <w:rFonts w:ascii="Arial" w:hAnsi="Arial"/>
          <w:sz w:val="22"/>
        </w:rPr>
        <w:t>Group Common PDCCH Structure for NR</w:t>
      </w:r>
    </w:p>
    <w:p w:rsidR="00C41224" w:rsidRDefault="00C41224" w:rsidP="00C41224">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In RAN1</w:t>
      </w:r>
      <w:r w:rsidR="00BC0B2C">
        <w:rPr>
          <w:sz w:val="24"/>
          <w:szCs w:val="24"/>
        </w:rPr>
        <w:t xml:space="preserve"> #AH-NR</w:t>
      </w:r>
      <w:r w:rsidR="001D7377" w:rsidRPr="0086141D">
        <w:rPr>
          <w:sz w:val="24"/>
          <w:szCs w:val="24"/>
        </w:rPr>
        <w:t>,</w:t>
      </w:r>
      <w:r w:rsidR="00E84501">
        <w:rPr>
          <w:sz w:val="24"/>
          <w:szCs w:val="24"/>
        </w:rPr>
        <w:t xml:space="preserve"> </w:t>
      </w:r>
      <w:r w:rsidR="00BC0B2C">
        <w:rPr>
          <w:sz w:val="24"/>
          <w:szCs w:val="24"/>
        </w:rPr>
        <w:t>t</w:t>
      </w:r>
      <w:r w:rsidR="00E11C1C">
        <w:rPr>
          <w:sz w:val="24"/>
          <w:szCs w:val="24"/>
        </w:rPr>
        <w:t>he</w:t>
      </w:r>
      <w:r w:rsidR="00BC0B2C">
        <w:rPr>
          <w:sz w:val="24"/>
          <w:szCs w:val="24"/>
        </w:rPr>
        <w:t xml:space="preserve"> following agreements were made on group common PDCCH.</w:t>
      </w:r>
    </w:p>
    <w:p w:rsidR="00E11C1C" w:rsidRPr="00E11C1C" w:rsidRDefault="00E11C1C" w:rsidP="00E11C1C">
      <w:pPr>
        <w:rPr>
          <w:rFonts w:eastAsia="MS Mincho"/>
          <w:b/>
          <w:sz w:val="24"/>
          <w:szCs w:val="24"/>
          <w:highlight w:val="yellow"/>
          <w:u w:val="single"/>
          <w:lang w:eastAsia="ja-JP"/>
        </w:rPr>
      </w:pPr>
      <w:r w:rsidRPr="00E11C1C">
        <w:rPr>
          <w:rFonts w:eastAsia="MS Mincho"/>
          <w:b/>
          <w:sz w:val="24"/>
          <w:szCs w:val="24"/>
          <w:highlight w:val="green"/>
          <w:u w:val="single"/>
          <w:lang w:eastAsia="ja-JP"/>
        </w:rPr>
        <w:t xml:space="preserve">Agreement: </w:t>
      </w:r>
    </w:p>
    <w:p w:rsidR="00BC0B2C" w:rsidRPr="004D338B" w:rsidRDefault="00BC0B2C" w:rsidP="00BC0B2C">
      <w:pPr>
        <w:numPr>
          <w:ilvl w:val="0"/>
          <w:numId w:val="9"/>
        </w:numPr>
        <w:overflowPunct/>
        <w:autoSpaceDE/>
        <w:autoSpaceDN/>
        <w:adjustRightInd/>
        <w:spacing w:after="0"/>
        <w:jc w:val="both"/>
        <w:textAlignment w:val="auto"/>
        <w:rPr>
          <w:rFonts w:eastAsia="MS Mincho"/>
          <w:sz w:val="24"/>
          <w:lang w:eastAsia="ja-JP"/>
        </w:rPr>
      </w:pPr>
      <w:r w:rsidRPr="004D338B">
        <w:rPr>
          <w:rFonts w:eastAsia="MS Mincho"/>
          <w:sz w:val="24"/>
          <w:lang w:eastAsia="ja-JP"/>
        </w:rPr>
        <w:t xml:space="preserve">NR supports a ‘group common PDCCH’ carrying information of e.g. the slot structure. </w:t>
      </w:r>
    </w:p>
    <w:p w:rsidR="00BC0B2C" w:rsidRPr="004D338B" w:rsidRDefault="00BC0B2C" w:rsidP="00BC0B2C">
      <w:pPr>
        <w:numPr>
          <w:ilvl w:val="1"/>
          <w:numId w:val="9"/>
        </w:numPr>
        <w:overflowPunct/>
        <w:autoSpaceDE/>
        <w:autoSpaceDN/>
        <w:adjustRightInd/>
        <w:spacing w:after="0"/>
        <w:jc w:val="both"/>
        <w:textAlignment w:val="auto"/>
        <w:rPr>
          <w:rFonts w:eastAsia="MS Mincho"/>
          <w:sz w:val="24"/>
          <w:lang w:eastAsia="ja-JP"/>
        </w:rPr>
      </w:pPr>
      <w:r w:rsidRPr="004D338B">
        <w:rPr>
          <w:rFonts w:eastAsia="MS Mincho"/>
          <w:sz w:val="24"/>
          <w:lang w:eastAsia="ja-JP"/>
        </w:rPr>
        <w:t>If the UE does not receive the ‘group common PDCCH’ the UE should be able to receive at least PDCCH in a slot, at least if the gNB did not transmit the ‘group common PDCCH’.</w:t>
      </w:r>
    </w:p>
    <w:p w:rsidR="00BC0B2C" w:rsidRPr="004D338B" w:rsidRDefault="00BC0B2C" w:rsidP="00BC0B2C">
      <w:pPr>
        <w:numPr>
          <w:ilvl w:val="1"/>
          <w:numId w:val="9"/>
        </w:numPr>
        <w:overflowPunct/>
        <w:autoSpaceDE/>
        <w:autoSpaceDN/>
        <w:adjustRightInd/>
        <w:spacing w:after="0"/>
        <w:jc w:val="both"/>
        <w:textAlignment w:val="auto"/>
        <w:rPr>
          <w:rFonts w:eastAsia="MS Mincho"/>
          <w:sz w:val="24"/>
          <w:lang w:eastAsia="ja-JP"/>
        </w:rPr>
      </w:pPr>
      <w:r w:rsidRPr="004D338B">
        <w:rPr>
          <w:rFonts w:eastAsia="MS Mincho"/>
          <w:sz w:val="24"/>
          <w:lang w:eastAsia="ja-JP"/>
        </w:rPr>
        <w:t>The network will inform through RRC signalling the UE whether to decode the ‘group common PDCCH’ or not</w:t>
      </w:r>
    </w:p>
    <w:p w:rsidR="00BC0B2C" w:rsidRPr="004D338B" w:rsidRDefault="00BC0B2C" w:rsidP="00BC0B2C">
      <w:pPr>
        <w:numPr>
          <w:ilvl w:val="1"/>
          <w:numId w:val="9"/>
        </w:numPr>
        <w:overflowPunct/>
        <w:autoSpaceDE/>
        <w:autoSpaceDN/>
        <w:adjustRightInd/>
        <w:spacing w:after="0"/>
        <w:jc w:val="both"/>
        <w:textAlignment w:val="auto"/>
        <w:rPr>
          <w:rFonts w:eastAsia="MS Mincho"/>
          <w:sz w:val="24"/>
          <w:lang w:eastAsia="ja-JP"/>
        </w:rPr>
      </w:pPr>
      <w:r w:rsidRPr="004D338B">
        <w:rPr>
          <w:rFonts w:eastAsia="MS Mincho"/>
          <w:sz w:val="24"/>
          <w:lang w:eastAsia="ja-JP"/>
        </w:rPr>
        <w:t>Common does not necessarily imply common per cell.</w:t>
      </w:r>
    </w:p>
    <w:p w:rsidR="00BC0B2C" w:rsidRPr="004D338B" w:rsidRDefault="00BC0B2C" w:rsidP="00BC0B2C">
      <w:pPr>
        <w:numPr>
          <w:ilvl w:val="1"/>
          <w:numId w:val="9"/>
        </w:numPr>
        <w:overflowPunct/>
        <w:autoSpaceDE/>
        <w:autoSpaceDN/>
        <w:adjustRightInd/>
        <w:spacing w:after="0"/>
        <w:jc w:val="both"/>
        <w:textAlignment w:val="auto"/>
        <w:rPr>
          <w:rFonts w:eastAsia="MS Mincho"/>
          <w:sz w:val="24"/>
          <w:lang w:eastAsia="ja-JP"/>
        </w:rPr>
      </w:pPr>
      <w:r w:rsidRPr="004D338B">
        <w:rPr>
          <w:sz w:val="24"/>
        </w:rPr>
        <w:t>Continue the discussion on the detailed content of the ‘group common PDCCH’ including usage for TDD and FDD</w:t>
      </w:r>
    </w:p>
    <w:p w:rsidR="009D2C7A" w:rsidRPr="009D2C7A" w:rsidRDefault="00BC0B2C" w:rsidP="009D2C7A">
      <w:pPr>
        <w:numPr>
          <w:ilvl w:val="1"/>
          <w:numId w:val="9"/>
        </w:numPr>
        <w:overflowPunct/>
        <w:autoSpaceDE/>
        <w:autoSpaceDN/>
        <w:adjustRightInd/>
        <w:spacing w:after="0"/>
        <w:jc w:val="both"/>
        <w:textAlignment w:val="auto"/>
        <w:rPr>
          <w:rFonts w:eastAsia="MS Mincho"/>
          <w:sz w:val="24"/>
          <w:lang w:eastAsia="ja-JP"/>
        </w:rPr>
      </w:pPr>
      <w:r w:rsidRPr="004D338B">
        <w:rPr>
          <w:sz w:val="24"/>
        </w:rPr>
        <w:t>The term ‘group common PDCCH’ refers to a channel (either a PDCCH or a separately designed channel) that carries informatio</w:t>
      </w:r>
      <w:r w:rsidR="009D2C7A">
        <w:rPr>
          <w:sz w:val="24"/>
        </w:rPr>
        <w:t>n intended for the group of UEs</w:t>
      </w:r>
    </w:p>
    <w:p w:rsidR="009D2C7A" w:rsidRDefault="009D2C7A" w:rsidP="009D2C7A">
      <w:pPr>
        <w:overflowPunct/>
        <w:autoSpaceDE/>
        <w:autoSpaceDN/>
        <w:adjustRightInd/>
        <w:spacing w:after="0"/>
        <w:jc w:val="both"/>
        <w:textAlignment w:val="auto"/>
        <w:rPr>
          <w:sz w:val="24"/>
        </w:rPr>
      </w:pPr>
    </w:p>
    <w:p w:rsidR="009D2C7A" w:rsidRDefault="009D2C7A" w:rsidP="009D2C7A">
      <w:pPr>
        <w:overflowPunct/>
        <w:autoSpaceDE/>
        <w:autoSpaceDN/>
        <w:adjustRightInd/>
        <w:spacing w:after="0"/>
        <w:jc w:val="both"/>
        <w:textAlignment w:val="auto"/>
        <w:rPr>
          <w:sz w:val="24"/>
        </w:rPr>
      </w:pPr>
      <w:r>
        <w:rPr>
          <w:sz w:val="24"/>
        </w:rPr>
        <w:t>In RA</w:t>
      </w:r>
      <w:r w:rsidR="0089274D">
        <w:rPr>
          <w:sz w:val="24"/>
        </w:rPr>
        <w:t>N</w:t>
      </w:r>
      <w:r>
        <w:rPr>
          <w:sz w:val="24"/>
        </w:rPr>
        <w:t xml:space="preserve">1 #89, </w:t>
      </w:r>
      <w:r w:rsidR="0089274D">
        <w:rPr>
          <w:sz w:val="24"/>
        </w:rPr>
        <w:t xml:space="preserve">the </w:t>
      </w:r>
      <w:r>
        <w:rPr>
          <w:sz w:val="24"/>
        </w:rPr>
        <w:t xml:space="preserve">following agreements were made </w:t>
      </w:r>
    </w:p>
    <w:p w:rsidR="009D2C7A" w:rsidRPr="009D2C7A" w:rsidRDefault="009D2C7A" w:rsidP="009D2C7A">
      <w:pPr>
        <w:overflowPunct/>
        <w:autoSpaceDE/>
        <w:autoSpaceDN/>
        <w:adjustRightInd/>
        <w:spacing w:after="0"/>
        <w:jc w:val="both"/>
        <w:textAlignment w:val="auto"/>
        <w:rPr>
          <w:rFonts w:eastAsia="MS Mincho"/>
          <w:sz w:val="24"/>
          <w:lang w:eastAsia="ja-JP"/>
        </w:rPr>
      </w:pPr>
    </w:p>
    <w:p w:rsidR="009D2C7A" w:rsidRPr="0089274D" w:rsidRDefault="009D2C7A" w:rsidP="009D2C7A">
      <w:pPr>
        <w:rPr>
          <w:rFonts w:eastAsia="MS Mincho"/>
          <w:b/>
          <w:sz w:val="24"/>
          <w:szCs w:val="24"/>
          <w:u w:val="single"/>
          <w:lang w:eastAsia="ja-JP"/>
        </w:rPr>
      </w:pPr>
      <w:r w:rsidRPr="0089274D">
        <w:rPr>
          <w:rFonts w:eastAsia="MS Mincho" w:hint="eastAsia"/>
          <w:b/>
          <w:sz w:val="24"/>
          <w:szCs w:val="24"/>
          <w:highlight w:val="green"/>
          <w:u w:val="single"/>
          <w:lang w:eastAsia="ja-JP"/>
        </w:rPr>
        <w:t>Agreements:</w:t>
      </w:r>
    </w:p>
    <w:p w:rsidR="009D2C7A" w:rsidRPr="009D2C7A" w:rsidRDefault="009D2C7A" w:rsidP="009D2C7A">
      <w:pPr>
        <w:pStyle w:val="ListParagraph"/>
        <w:numPr>
          <w:ilvl w:val="0"/>
          <w:numId w:val="13"/>
        </w:numPr>
        <w:overflowPunct w:val="0"/>
        <w:autoSpaceDE w:val="0"/>
        <w:autoSpaceDN w:val="0"/>
        <w:adjustRightInd w:val="0"/>
        <w:spacing w:after="180"/>
        <w:contextualSpacing/>
        <w:textAlignment w:val="baseline"/>
        <w:rPr>
          <w:rFonts w:ascii="Times New Roman" w:eastAsia="MS Mincho" w:hAnsi="Times New Roman"/>
          <w:sz w:val="24"/>
          <w:szCs w:val="24"/>
        </w:rPr>
      </w:pPr>
      <w:r w:rsidRPr="009D2C7A">
        <w:rPr>
          <w:rFonts w:ascii="Times New Roman" w:eastAsia="MS Mincho" w:hAnsi="Times New Roman"/>
          <w:sz w:val="24"/>
          <w:szCs w:val="24"/>
        </w:rPr>
        <w:t>The SFI transmitted in a group-common PDCCH can indicate the slot format related information for one or more slots</w:t>
      </w:r>
    </w:p>
    <w:p w:rsidR="009D2C7A" w:rsidRPr="009D2C7A" w:rsidRDefault="009D2C7A" w:rsidP="009D2C7A">
      <w:pPr>
        <w:pStyle w:val="ListParagraph"/>
        <w:numPr>
          <w:ilvl w:val="1"/>
          <w:numId w:val="13"/>
        </w:numPr>
        <w:overflowPunct w:val="0"/>
        <w:autoSpaceDE w:val="0"/>
        <w:autoSpaceDN w:val="0"/>
        <w:adjustRightInd w:val="0"/>
        <w:spacing w:after="180"/>
        <w:contextualSpacing/>
        <w:textAlignment w:val="baseline"/>
        <w:rPr>
          <w:rFonts w:ascii="Times New Roman" w:eastAsia="MS Mincho" w:hAnsi="Times New Roman"/>
          <w:sz w:val="24"/>
          <w:szCs w:val="24"/>
        </w:rPr>
      </w:pPr>
      <w:r w:rsidRPr="009D2C7A">
        <w:rPr>
          <w:rFonts w:ascii="Times New Roman" w:eastAsia="MS Mincho" w:hAnsi="Times New Roman"/>
          <w:sz w:val="24"/>
          <w:szCs w:val="24"/>
        </w:rPr>
        <w:t>The slot format related information informs the UEs of the number of slots and the slot format(s) related information of those slots</w:t>
      </w:r>
    </w:p>
    <w:p w:rsidR="009D2C7A" w:rsidRPr="009D2C7A" w:rsidRDefault="009D2C7A" w:rsidP="009D2C7A">
      <w:pPr>
        <w:pStyle w:val="ListParagraph"/>
        <w:numPr>
          <w:ilvl w:val="1"/>
          <w:numId w:val="13"/>
        </w:numPr>
        <w:overflowPunct w:val="0"/>
        <w:autoSpaceDE w:val="0"/>
        <w:autoSpaceDN w:val="0"/>
        <w:adjustRightInd w:val="0"/>
        <w:spacing w:after="180"/>
        <w:contextualSpacing/>
        <w:textAlignment w:val="baseline"/>
        <w:rPr>
          <w:rFonts w:ascii="Times New Roman" w:eastAsia="MS Mincho" w:hAnsi="Times New Roman"/>
          <w:sz w:val="24"/>
          <w:szCs w:val="24"/>
        </w:rPr>
      </w:pPr>
      <w:r w:rsidRPr="009D2C7A">
        <w:rPr>
          <w:rFonts w:ascii="Times New Roman" w:eastAsia="MS Mincho" w:hAnsi="Times New Roman"/>
          <w:sz w:val="24"/>
          <w:szCs w:val="24"/>
        </w:rPr>
        <w:t>FFS: how to interpret the SFI when the UE is configured with multiple bandwidth parts</w:t>
      </w:r>
    </w:p>
    <w:p w:rsidR="009D2C7A" w:rsidRPr="009D2C7A" w:rsidRDefault="009D2C7A" w:rsidP="009D2C7A">
      <w:pPr>
        <w:pStyle w:val="ListParagraph"/>
        <w:numPr>
          <w:ilvl w:val="1"/>
          <w:numId w:val="13"/>
        </w:numPr>
        <w:overflowPunct w:val="0"/>
        <w:autoSpaceDE w:val="0"/>
        <w:autoSpaceDN w:val="0"/>
        <w:adjustRightInd w:val="0"/>
        <w:spacing w:after="180"/>
        <w:contextualSpacing/>
        <w:textAlignment w:val="baseline"/>
        <w:rPr>
          <w:rFonts w:ascii="Times New Roman" w:eastAsia="MS Mincho" w:hAnsi="Times New Roman"/>
          <w:sz w:val="24"/>
          <w:szCs w:val="24"/>
        </w:rPr>
      </w:pPr>
      <w:r w:rsidRPr="009D2C7A">
        <w:rPr>
          <w:rFonts w:ascii="Times New Roman" w:eastAsia="MS Mincho" w:hAnsi="Times New Roman"/>
          <w:sz w:val="24"/>
          <w:szCs w:val="24"/>
        </w:rPr>
        <w:t>FFS: details for UE behaviour</w:t>
      </w:r>
    </w:p>
    <w:p w:rsidR="009D2C7A" w:rsidRPr="009D2C7A" w:rsidRDefault="009D2C7A" w:rsidP="009D2C7A">
      <w:pPr>
        <w:pStyle w:val="ListParagraph"/>
        <w:numPr>
          <w:ilvl w:val="0"/>
          <w:numId w:val="13"/>
        </w:numPr>
        <w:overflowPunct w:val="0"/>
        <w:autoSpaceDE w:val="0"/>
        <w:autoSpaceDN w:val="0"/>
        <w:adjustRightInd w:val="0"/>
        <w:spacing w:after="180"/>
        <w:contextualSpacing/>
        <w:textAlignment w:val="baseline"/>
        <w:rPr>
          <w:rFonts w:ascii="Times New Roman" w:eastAsia="MS Mincho" w:hAnsi="Times New Roman"/>
          <w:sz w:val="24"/>
          <w:szCs w:val="24"/>
        </w:rPr>
      </w:pPr>
      <w:r w:rsidRPr="009D2C7A">
        <w:rPr>
          <w:rFonts w:ascii="Times New Roman" w:eastAsia="MS Mincho" w:hAnsi="Times New Roman"/>
          <w:sz w:val="24"/>
          <w:szCs w:val="24"/>
        </w:rPr>
        <w:t>FFS: A UE may be configured to monitor for at most one group-common PDCCH carrying slot format related information (SFI) in a slot</w:t>
      </w:r>
    </w:p>
    <w:p w:rsidR="00AB7637" w:rsidRDefault="00AB7637" w:rsidP="00BC0B2C">
      <w:pPr>
        <w:overflowPunct/>
        <w:autoSpaceDE/>
        <w:autoSpaceDN/>
        <w:adjustRightInd/>
        <w:spacing w:after="0"/>
        <w:jc w:val="both"/>
        <w:textAlignment w:val="auto"/>
        <w:rPr>
          <w:sz w:val="24"/>
          <w:szCs w:val="24"/>
        </w:rPr>
      </w:pPr>
    </w:p>
    <w:p w:rsidR="00250D87" w:rsidRPr="00E11C1C" w:rsidRDefault="004D338B" w:rsidP="00BC0B2C">
      <w:pPr>
        <w:overflowPunct/>
        <w:autoSpaceDE/>
        <w:autoSpaceDN/>
        <w:adjustRightInd/>
        <w:spacing w:after="0"/>
        <w:jc w:val="both"/>
        <w:textAlignment w:val="auto"/>
        <w:rPr>
          <w:rFonts w:eastAsia="MS Mincho"/>
          <w:sz w:val="24"/>
          <w:szCs w:val="24"/>
          <w:lang w:eastAsia="ja-JP"/>
        </w:rPr>
      </w:pPr>
      <w:r>
        <w:rPr>
          <w:sz w:val="24"/>
          <w:szCs w:val="24"/>
        </w:rPr>
        <w:t>In this contribution, we describe our views on</w:t>
      </w:r>
      <w:r w:rsidR="005D426A">
        <w:rPr>
          <w:sz w:val="24"/>
          <w:szCs w:val="24"/>
        </w:rPr>
        <w:t xml:space="preserve"> CRC attachment and common UE-ID for group common PDCCH</w:t>
      </w:r>
      <w:r>
        <w:rPr>
          <w:sz w:val="24"/>
          <w:szCs w:val="24"/>
        </w:rPr>
        <w:t xml:space="preserve">.  </w:t>
      </w:r>
    </w:p>
    <w:p w:rsidR="0041405C" w:rsidRPr="002E6E64" w:rsidRDefault="0041405C" w:rsidP="00DE4B5B">
      <w:pPr>
        <w:pStyle w:val="Text"/>
        <w:jc w:val="both"/>
        <w:rPr>
          <w:rFonts w:ascii="Times New Roman" w:hAnsi="Times New Roman"/>
          <w:color w:val="000000" w:themeColor="text1"/>
          <w:sz w:val="24"/>
          <w:szCs w:val="24"/>
        </w:rPr>
      </w:pPr>
      <w:bookmarkStart w:id="2" w:name="_Ref378529477"/>
    </w:p>
    <w:p w:rsidR="00AF55AC" w:rsidRDefault="00AF55AC"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lastRenderedPageBreak/>
        <w:t>CRC Attachment for Group Common PDCCH</w:t>
      </w:r>
    </w:p>
    <w:p w:rsidR="003702F2" w:rsidRDefault="003702F2" w:rsidP="003702F2">
      <w:pPr>
        <w:pStyle w:val="Text"/>
        <w:jc w:val="both"/>
        <w:rPr>
          <w:rFonts w:ascii="Times New Roman" w:hAnsi="Times New Roman"/>
          <w:sz w:val="24"/>
        </w:rPr>
      </w:pPr>
      <w:r>
        <w:rPr>
          <w:rFonts w:ascii="Times New Roman" w:hAnsi="Times New Roman"/>
          <w:sz w:val="24"/>
        </w:rPr>
        <w:t>During RAN1#88 bis, CRC attachment for group common PDCCH was discussed.</w:t>
      </w:r>
      <w:r w:rsidR="00E600DD">
        <w:rPr>
          <w:rFonts w:ascii="Times New Roman" w:hAnsi="Times New Roman"/>
          <w:sz w:val="24"/>
        </w:rPr>
        <w:t xml:space="preserve"> However, there was no agreement was made.</w:t>
      </w:r>
      <w:r>
        <w:rPr>
          <w:rFonts w:ascii="Times New Roman" w:hAnsi="Times New Roman"/>
          <w:sz w:val="24"/>
        </w:rPr>
        <w:t xml:space="preserve">  In our view,  since group common PDCCH contains small payloads (say 11-16) bits, CRC attachment over small payloads is not beneficial.</w:t>
      </w:r>
      <w:r w:rsidR="00011AD9">
        <w:rPr>
          <w:rFonts w:ascii="Times New Roman" w:hAnsi="Times New Roman"/>
          <w:sz w:val="24"/>
        </w:rPr>
        <w:t xml:space="preserve"> </w:t>
      </w:r>
      <w:r w:rsidR="005D5B1E">
        <w:rPr>
          <w:rFonts w:ascii="Times New Roman" w:hAnsi="Times New Roman"/>
          <w:sz w:val="24"/>
        </w:rPr>
        <w:t xml:space="preserve"> Moreover</w:t>
      </w:r>
      <w:r>
        <w:rPr>
          <w:rFonts w:ascii="Times New Roman" w:hAnsi="Times New Roman"/>
          <w:sz w:val="24"/>
        </w:rPr>
        <w:t xml:space="preserve">, the </w:t>
      </w:r>
      <w:r w:rsidR="00011AD9">
        <w:rPr>
          <w:rFonts w:ascii="Times New Roman" w:hAnsi="Times New Roman"/>
          <w:sz w:val="24"/>
        </w:rPr>
        <w:t xml:space="preserve">UE is always going to decode PDCCH even it is scheduled or not. Hence, in our view CRC attachment for group common PDCCH is not preferred. </w:t>
      </w:r>
    </w:p>
    <w:p w:rsidR="001B62B5" w:rsidRDefault="001B62B5" w:rsidP="003702F2">
      <w:pPr>
        <w:pStyle w:val="Text"/>
        <w:jc w:val="both"/>
        <w:rPr>
          <w:rFonts w:ascii="Times New Roman" w:hAnsi="Times New Roman"/>
          <w:color w:val="000000" w:themeColor="text1"/>
          <w:sz w:val="24"/>
          <w:szCs w:val="24"/>
          <w:lang w:val="en-GB"/>
        </w:rPr>
      </w:pPr>
    </w:p>
    <w:p w:rsidR="001B62B5" w:rsidRDefault="006343EA" w:rsidP="001B62B5">
      <w:pPr>
        <w:pStyle w:val="Text"/>
        <w:jc w:val="both"/>
        <w:rPr>
          <w:rFonts w:ascii="Times New Roman" w:hAnsi="Times New Roman"/>
          <w:b/>
          <w:sz w:val="24"/>
          <w:szCs w:val="24"/>
        </w:rPr>
      </w:pPr>
      <w:r>
        <w:rPr>
          <w:rFonts w:ascii="Times New Roman" w:hAnsi="Times New Roman"/>
          <w:b/>
          <w:noProof/>
          <w:sz w:val="24"/>
          <w:szCs w:val="24"/>
        </w:rPr>
        <w:t>Proposal 1</w:t>
      </w:r>
      <w:r w:rsidR="001B62B5" w:rsidRPr="00767F04">
        <w:rPr>
          <w:rFonts w:ascii="Times New Roman" w:hAnsi="Times New Roman"/>
          <w:b/>
          <w:sz w:val="24"/>
          <w:szCs w:val="24"/>
        </w:rPr>
        <w:t>:</w:t>
      </w:r>
      <w:r w:rsidR="001B62B5">
        <w:rPr>
          <w:rFonts w:ascii="Times New Roman" w:hAnsi="Times New Roman"/>
          <w:b/>
          <w:sz w:val="24"/>
          <w:szCs w:val="24"/>
        </w:rPr>
        <w:t xml:space="preserve">  No CRC attachment for Group common PDCCH is preferred.</w:t>
      </w:r>
    </w:p>
    <w:p w:rsidR="00BF5399" w:rsidRDefault="002C1EFA" w:rsidP="001D7377">
      <w:pPr>
        <w:pStyle w:val="Heading1"/>
      </w:pPr>
      <w:r>
        <w:t>Attachment of G</w:t>
      </w:r>
      <w:r w:rsidR="00BF5399">
        <w:t xml:space="preserve">roup Common RNTI </w:t>
      </w:r>
    </w:p>
    <w:p w:rsidR="00BF5399" w:rsidRDefault="00F87E38" w:rsidP="00BF5399">
      <w:pPr>
        <w:pStyle w:val="Text"/>
        <w:jc w:val="both"/>
        <w:rPr>
          <w:rFonts w:ascii="Times New Roman" w:hAnsi="Times New Roman"/>
          <w:color w:val="000000" w:themeColor="text1"/>
          <w:sz w:val="24"/>
          <w:szCs w:val="24"/>
          <w:lang w:val="en-GB"/>
        </w:rPr>
      </w:pPr>
      <w:r>
        <w:rPr>
          <w:rFonts w:ascii="Times New Roman" w:hAnsi="Times New Roman"/>
          <w:sz w:val="24"/>
        </w:rPr>
        <w:t xml:space="preserve">Since the group common PDCCH is conveyed to only a group of UEs, we prefer to use common RNTI for encoding common PDCCH. However, the contents of common PDCCH are very small. Hence encoding of common RNTI is problematic. In this section, we describe two methods to encode common RNTI for group common PDCCH. </w:t>
      </w:r>
      <w:r>
        <w:rPr>
          <w:rFonts w:ascii="Times New Roman" w:hAnsi="Times New Roman"/>
          <w:color w:val="000000" w:themeColor="text1"/>
          <w:sz w:val="24"/>
          <w:szCs w:val="24"/>
          <w:lang w:val="en-GB"/>
        </w:rPr>
        <w:t xml:space="preserve"> In these </w:t>
      </w:r>
      <w:r w:rsidR="00425A92">
        <w:rPr>
          <w:rFonts w:ascii="Times New Roman" w:hAnsi="Times New Roman"/>
          <w:color w:val="000000" w:themeColor="text1"/>
          <w:sz w:val="24"/>
          <w:szCs w:val="24"/>
          <w:lang w:val="en-GB"/>
        </w:rPr>
        <w:t>techniques</w:t>
      </w:r>
      <w:r>
        <w:rPr>
          <w:rFonts w:ascii="Times New Roman" w:hAnsi="Times New Roman"/>
          <w:color w:val="000000" w:themeColor="text1"/>
          <w:sz w:val="24"/>
          <w:szCs w:val="24"/>
          <w:lang w:val="en-GB"/>
        </w:rPr>
        <w:t xml:space="preserve">, we assume the UE receives common RNTI information apriori. </w:t>
      </w:r>
    </w:p>
    <w:p w:rsidR="00F87E38" w:rsidRDefault="00F87E38" w:rsidP="00BF5399">
      <w:pPr>
        <w:pStyle w:val="Text"/>
        <w:jc w:val="both"/>
        <w:rPr>
          <w:rFonts w:ascii="Times New Roman" w:hAnsi="Times New Roman"/>
          <w:color w:val="000000" w:themeColor="text1"/>
          <w:sz w:val="24"/>
          <w:szCs w:val="24"/>
        </w:rPr>
      </w:pPr>
    </w:p>
    <w:p w:rsidR="00543B21" w:rsidRPr="0029404C" w:rsidRDefault="00CA45CC" w:rsidP="00F87E38">
      <w:pPr>
        <w:pStyle w:val="ListParagraph"/>
        <w:numPr>
          <w:ilvl w:val="0"/>
          <w:numId w:val="12"/>
        </w:numPr>
        <w:rPr>
          <w:rFonts w:ascii="Times New Roman" w:eastAsiaTheme="minorHAnsi" w:hAnsi="Times New Roman"/>
          <w:b/>
          <w:spacing w:val="2"/>
          <w:sz w:val="24"/>
        </w:rPr>
      </w:pPr>
      <w:r>
        <w:rPr>
          <w:rStyle w:val="IvDbodytextChar"/>
          <w:rFonts w:asciiTheme="minorHAnsi" w:eastAsiaTheme="minorHAnsi" w:hAnsiTheme="minorHAnsi"/>
          <w:b/>
          <w:sz w:val="24"/>
        </w:rPr>
        <w:t>Post-</w:t>
      </w:r>
      <w:r w:rsidR="00400A08">
        <w:rPr>
          <w:rStyle w:val="IvDbodytextChar"/>
          <w:rFonts w:asciiTheme="minorHAnsi" w:eastAsiaTheme="minorHAnsi" w:hAnsiTheme="minorHAnsi"/>
          <w:b/>
          <w:sz w:val="24"/>
        </w:rPr>
        <w:t>attachment of the common RNTI</w:t>
      </w:r>
      <w:r w:rsidR="00543B21" w:rsidRPr="00F87E38">
        <w:rPr>
          <w:rStyle w:val="IvDbodytextChar"/>
          <w:rFonts w:asciiTheme="minorHAnsi" w:eastAsiaTheme="minorHAnsi" w:hAnsiTheme="minorHAnsi"/>
          <w:b/>
          <w:sz w:val="24"/>
        </w:rPr>
        <w:t xml:space="preserve">: </w:t>
      </w:r>
      <w:r w:rsidR="0029404C">
        <w:rPr>
          <w:rFonts w:ascii="Times New Roman" w:hAnsi="Times New Roman"/>
          <w:sz w:val="24"/>
        </w:rPr>
        <w:t>In this method, the gNB</w:t>
      </w:r>
      <w:r w:rsidR="00543B21" w:rsidRPr="0029404C">
        <w:rPr>
          <w:rFonts w:ascii="Times New Roman" w:hAnsi="Times New Roman"/>
          <w:sz w:val="24"/>
        </w:rPr>
        <w:t xml:space="preserve"> uses two channel encoders for appending common RNTI to the data. The first channel encoder encodes the information block (say Y) to coded block of length (say X) with code rate of Y/X. The second encoder encodes the common RNTI of length (R) to a length of X with code rate R/X.  The output of these two encoders are passed through a </w:t>
      </w:r>
      <w:r w:rsidR="00543B21" w:rsidRPr="0029404C">
        <w:rPr>
          <w:rFonts w:ascii="Times New Roman" w:hAnsi="Times New Roman"/>
          <w:b/>
          <w:sz w:val="24"/>
        </w:rPr>
        <w:t>XOR</w:t>
      </w:r>
      <w:r w:rsidR="00543B21" w:rsidRPr="0029404C">
        <w:rPr>
          <w:rFonts w:ascii="Times New Roman" w:hAnsi="Times New Roman"/>
          <w:sz w:val="24"/>
        </w:rPr>
        <w:t xml:space="preserve"> operation.  The main principle behind this technique is to append common RNTI once the encoding is completed thereby providing coding gain for common RNTI bits.</w:t>
      </w:r>
    </w:p>
    <w:p w:rsidR="00543B21" w:rsidRDefault="00543B21" w:rsidP="00543B21">
      <w:pPr>
        <w:keepNext/>
      </w:pPr>
      <w:r>
        <w:rPr>
          <w:noProof/>
          <w:sz w:val="28"/>
          <w:szCs w:val="28"/>
        </w:rPr>
        <mc:AlternateContent>
          <mc:Choice Requires="wpc">
            <w:drawing>
              <wp:inline distT="0" distB="0" distL="0" distR="0" wp14:anchorId="48C1E425" wp14:editId="515A4771">
                <wp:extent cx="6024893" cy="3591762"/>
                <wp:effectExtent l="0" t="0" r="0" b="0"/>
                <wp:docPr id="42" name="Canvas 4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53" name="Rectangle 6"/>
                        <wps:cNvSpPr>
                          <a:spLocks noChangeArrowheads="1"/>
                        </wps:cNvSpPr>
                        <wps:spPr bwMode="auto">
                          <a:xfrm>
                            <a:off x="3053093" y="1028700"/>
                            <a:ext cx="685800" cy="800100"/>
                          </a:xfrm>
                          <a:prstGeom prst="rect">
                            <a:avLst/>
                          </a:prstGeom>
                          <a:solidFill>
                            <a:srgbClr val="00B050"/>
                          </a:solidFill>
                          <a:ln w="38100">
                            <a:solidFill>
                              <a:srgbClr val="000000"/>
                            </a:solidFill>
                            <a:miter lim="800000"/>
                            <a:headEnd/>
                            <a:tailEnd/>
                          </a:ln>
                        </wps:spPr>
                        <wps:txbx>
                          <w:txbxContent>
                            <w:p w:rsidR="00543B21" w:rsidRDefault="00543B21" w:rsidP="00543B21">
                              <w:pPr>
                                <w:rPr>
                                  <w:lang w:val="sv-SE"/>
                                </w:rPr>
                              </w:pPr>
                            </w:p>
                            <w:p w:rsidR="00543B21" w:rsidRDefault="00543B21" w:rsidP="00543B21">
                              <w:pPr>
                                <w:rPr>
                                  <w:lang w:val="sv-SE"/>
                                </w:rPr>
                              </w:pPr>
                            </w:p>
                            <w:p w:rsidR="00543B21" w:rsidRPr="00460401" w:rsidRDefault="00543B21" w:rsidP="00543B21">
                              <w:pPr>
                                <w:rPr>
                                  <w:lang w:val="sv-SE"/>
                                </w:rPr>
                              </w:pPr>
                              <w:r>
                                <w:rPr>
                                  <w:lang w:val="sv-SE"/>
                                </w:rPr>
                                <w:t>XOR</w:t>
                              </w:r>
                            </w:p>
                          </w:txbxContent>
                        </wps:txbx>
                        <wps:bodyPr rot="0" vert="horz" wrap="square" lIns="91440" tIns="45720" rIns="91440" bIns="45720" anchor="t" anchorCtr="0" upright="1">
                          <a:noAutofit/>
                        </wps:bodyPr>
                      </wps:wsp>
                      <wps:wsp>
                        <wps:cNvPr id="254" name="Line 7"/>
                        <wps:cNvCnPr>
                          <a:cxnSpLocks noChangeShapeType="1"/>
                        </wps:cNvCnPr>
                        <wps:spPr bwMode="auto">
                          <a:xfrm>
                            <a:off x="2252993" y="2400300"/>
                            <a:ext cx="11430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55" name="Line 8"/>
                        <wps:cNvCnPr>
                          <a:cxnSpLocks noChangeShapeType="1"/>
                        </wps:cNvCnPr>
                        <wps:spPr bwMode="auto">
                          <a:xfrm flipV="1">
                            <a:off x="2413929" y="580520"/>
                            <a:ext cx="828444" cy="902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32" name="Line 9"/>
                        <wps:cNvCnPr>
                          <a:cxnSpLocks noChangeShapeType="1"/>
                        </wps:cNvCnPr>
                        <wps:spPr bwMode="auto">
                          <a:xfrm flipV="1">
                            <a:off x="3395993" y="1828800"/>
                            <a:ext cx="0" cy="5715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Line 10"/>
                        <wps:cNvCnPr>
                          <a:cxnSpLocks noChangeShapeType="1"/>
                        </wps:cNvCnPr>
                        <wps:spPr bwMode="auto">
                          <a:xfrm>
                            <a:off x="3251422" y="580519"/>
                            <a:ext cx="0" cy="4572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Line 11"/>
                        <wps:cNvCnPr>
                          <a:cxnSpLocks noChangeShapeType="1"/>
                        </wps:cNvCnPr>
                        <wps:spPr bwMode="auto">
                          <a:xfrm>
                            <a:off x="3738893" y="1371600"/>
                            <a:ext cx="80010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Line 12"/>
                        <wps:cNvCnPr>
                          <a:cxnSpLocks noChangeShapeType="1"/>
                        </wps:cNvCnPr>
                        <wps:spPr bwMode="auto">
                          <a:xfrm>
                            <a:off x="525779" y="600761"/>
                            <a:ext cx="571500" cy="63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Line 15"/>
                        <wps:cNvCnPr>
                          <a:cxnSpLocks noChangeShapeType="1"/>
                        </wps:cNvCnPr>
                        <wps:spPr bwMode="auto">
                          <a:xfrm>
                            <a:off x="234912" y="2341778"/>
                            <a:ext cx="68580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Text Box 16"/>
                        <wps:cNvSpPr txBox="1">
                          <a:spLocks noChangeArrowheads="1"/>
                        </wps:cNvSpPr>
                        <wps:spPr bwMode="auto">
                          <a:xfrm>
                            <a:off x="4081793" y="800100"/>
                            <a:ext cx="12573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3B21" w:rsidRPr="00460401" w:rsidRDefault="00543B21" w:rsidP="00543B21">
                              <w:pPr>
                                <w:rPr>
                                  <w:lang w:val="sv-SE"/>
                                </w:rPr>
                              </w:pPr>
                              <w:r>
                                <w:rPr>
                                  <w:lang w:val="sv-SE"/>
                                </w:rPr>
                                <w:t>Group common PDCCH</w:t>
                              </w:r>
                            </w:p>
                          </w:txbxContent>
                        </wps:txbx>
                        <wps:bodyPr rot="0" vert="horz" wrap="square" lIns="91440" tIns="45720" rIns="91440" bIns="45720" anchor="t" anchorCtr="0" upright="1">
                          <a:noAutofit/>
                        </wps:bodyPr>
                      </wps:wsp>
                      <wps:wsp>
                        <wps:cNvPr id="40" name="Text Box 17"/>
                        <wps:cNvSpPr txBox="1">
                          <a:spLocks noChangeArrowheads="1"/>
                        </wps:cNvSpPr>
                        <wps:spPr bwMode="auto">
                          <a:xfrm>
                            <a:off x="197510" y="0"/>
                            <a:ext cx="973744" cy="4828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3B21" w:rsidRDefault="00543B21" w:rsidP="00543B21">
                              <w:pPr>
                                <w:rPr>
                                  <w:lang w:val="sv-SE"/>
                                </w:rPr>
                              </w:pPr>
                              <w:r>
                                <w:rPr>
                                  <w:lang w:val="sv-SE"/>
                                </w:rPr>
                                <w:t>Information</w:t>
                              </w:r>
                            </w:p>
                            <w:p w:rsidR="00543B21" w:rsidRPr="00460401" w:rsidRDefault="00543B21" w:rsidP="00543B21">
                              <w:pPr>
                                <w:rPr>
                                  <w:lang w:val="sv-SE"/>
                                </w:rPr>
                              </w:pPr>
                              <w:r>
                                <w:rPr>
                                  <w:lang w:val="sv-SE"/>
                                </w:rPr>
                                <w:t>Block</w:t>
                              </w:r>
                            </w:p>
                          </w:txbxContent>
                        </wps:txbx>
                        <wps:bodyPr rot="0" vert="horz" wrap="square" lIns="91440" tIns="45720" rIns="91440" bIns="45720" anchor="t" anchorCtr="0" upright="1">
                          <a:noAutofit/>
                        </wps:bodyPr>
                      </wps:wsp>
                      <wps:wsp>
                        <wps:cNvPr id="262" name="Rectangle 262"/>
                        <wps:cNvSpPr/>
                        <wps:spPr>
                          <a:xfrm>
                            <a:off x="1097280" y="343814"/>
                            <a:ext cx="1338681" cy="592531"/>
                          </a:xfrm>
                          <a:prstGeom prst="rect">
                            <a:avLst/>
                          </a:prstGeom>
                          <a:solidFill>
                            <a:srgbClr val="C00000"/>
                          </a:solidFill>
                          <a:ln w="28575"/>
                        </wps:spPr>
                        <wps:style>
                          <a:lnRef idx="2">
                            <a:schemeClr val="dk1"/>
                          </a:lnRef>
                          <a:fillRef idx="1">
                            <a:schemeClr val="lt1"/>
                          </a:fillRef>
                          <a:effectRef idx="0">
                            <a:schemeClr val="dk1"/>
                          </a:effectRef>
                          <a:fontRef idx="minor">
                            <a:schemeClr val="dk1"/>
                          </a:fontRef>
                        </wps:style>
                        <wps:txbx>
                          <w:txbxContent>
                            <w:p w:rsidR="00543B21" w:rsidRPr="00AC3408" w:rsidRDefault="00543B21" w:rsidP="00543B21">
                              <w:pPr>
                                <w:jc w:val="center"/>
                              </w:pPr>
                              <w:r>
                                <w:t>(20,</w:t>
                              </w:r>
                              <w:r w:rsidR="001D4E16">
                                <w:t xml:space="preserve"> x</w:t>
                              </w:r>
                              <w:r>
                                <w:t>) Reed-Muller</w:t>
                              </w:r>
                              <w:r w:rsidR="001D4E16">
                                <w:t>/Polar</w:t>
                              </w:r>
                              <w:r>
                                <w:t xml:space="preserve"> Code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Rectangle 103"/>
                        <wps:cNvSpPr/>
                        <wps:spPr>
                          <a:xfrm>
                            <a:off x="933466" y="2038061"/>
                            <a:ext cx="1338580" cy="592455"/>
                          </a:xfrm>
                          <a:prstGeom prst="rect">
                            <a:avLst/>
                          </a:prstGeom>
                          <a:solidFill>
                            <a:srgbClr val="92D050"/>
                          </a:solidFill>
                          <a:ln w="28575"/>
                        </wps:spPr>
                        <wps:style>
                          <a:lnRef idx="2">
                            <a:schemeClr val="dk1"/>
                          </a:lnRef>
                          <a:fillRef idx="1">
                            <a:schemeClr val="lt1"/>
                          </a:fillRef>
                          <a:effectRef idx="0">
                            <a:schemeClr val="dk1"/>
                          </a:effectRef>
                          <a:fontRef idx="minor">
                            <a:schemeClr val="dk1"/>
                          </a:fontRef>
                        </wps:style>
                        <wps:txbx>
                          <w:txbxContent>
                            <w:p w:rsidR="00543B21" w:rsidRDefault="002E5508" w:rsidP="00543B21">
                              <w:pPr>
                                <w:pStyle w:val="NormalWeb"/>
                                <w:overflowPunct w:val="0"/>
                                <w:spacing w:before="0" w:beforeAutospacing="0" w:after="120" w:afterAutospacing="0"/>
                                <w:jc w:val="center"/>
                              </w:pPr>
                              <w:r>
                                <w:rPr>
                                  <w:rFonts w:eastAsia="Times New Roman"/>
                                  <w:sz w:val="20"/>
                                  <w:szCs w:val="20"/>
                                </w:rPr>
                                <w:t xml:space="preserve">(20, 16) </w:t>
                              </w:r>
                              <w:r w:rsidR="003C7092">
                                <w:rPr>
                                  <w:rFonts w:eastAsia="Times New Roman"/>
                                  <w:sz w:val="20"/>
                                  <w:szCs w:val="20"/>
                                </w:rPr>
                                <w:t xml:space="preserve">polar </w:t>
                              </w:r>
                              <w:r w:rsidR="00543B21">
                                <w:rPr>
                                  <w:rFonts w:eastAsia="Times New Roman"/>
                                  <w:sz w:val="20"/>
                                  <w:szCs w:val="20"/>
                                </w:rPr>
                                <w:t>Code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 name="Text Box 17"/>
                        <wps:cNvSpPr txBox="1">
                          <a:spLocks noChangeArrowheads="1"/>
                        </wps:cNvSpPr>
                        <wps:spPr bwMode="auto">
                          <a:xfrm>
                            <a:off x="216576" y="1452845"/>
                            <a:ext cx="973455" cy="482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3B21" w:rsidRDefault="00543B21" w:rsidP="00543B21">
                              <w:pPr>
                                <w:pStyle w:val="NormalWeb"/>
                                <w:overflowPunct w:val="0"/>
                                <w:spacing w:before="0" w:beforeAutospacing="0" w:after="120" w:afterAutospacing="0"/>
                                <w:jc w:val="both"/>
                                <w:rPr>
                                  <w:rFonts w:ascii="Calibri" w:eastAsia="Times New Roman" w:hAnsi="Calibri"/>
                                  <w:sz w:val="20"/>
                                  <w:szCs w:val="20"/>
                                </w:rPr>
                              </w:pPr>
                              <w:r>
                                <w:rPr>
                                  <w:rFonts w:ascii="Calibri" w:eastAsia="Times New Roman" w:hAnsi="Calibri"/>
                                  <w:sz w:val="20"/>
                                  <w:szCs w:val="20"/>
                                </w:rPr>
                                <w:t xml:space="preserve">Common </w:t>
                              </w:r>
                            </w:p>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RNTI</w:t>
                              </w:r>
                            </w:p>
                          </w:txbxContent>
                        </wps:txbx>
                        <wps:bodyPr rot="0" vert="horz" wrap="square" lIns="91440" tIns="45720" rIns="91440" bIns="45720" anchor="t" anchorCtr="0" upright="1">
                          <a:noAutofit/>
                        </wps:bodyPr>
                      </wps:wsp>
                    </wpc:wpc>
                  </a:graphicData>
                </a:graphic>
              </wp:inline>
            </w:drawing>
          </mc:Choice>
          <mc:Fallback>
            <w:pict>
              <v:group w14:anchorId="48C1E425" id="Canvas 42" o:spid="_x0000_s1026" editas="canvas" style="width:474.4pt;height:282.8pt;mso-position-horizontal-relative:char;mso-position-vertical-relative:line" coordsize="60248,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248;height:35915;visibility:visible;mso-wrap-style:square">
                  <v:fill o:detectmouseclick="t"/>
                  <v:path o:connecttype="none"/>
                </v:shape>
                <v:rect id="Rectangle 6" o:spid="_x0000_s1028" style="position:absolute;left:30530;top:10287;width:6858;height:8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a5oscA&#10;AADcAAAADwAAAGRycy9kb3ducmV2LnhtbESPQWvCQBSE74L/YXlCb2Zjiq2krqKiWOjBGnvx9si+&#10;JqnZt2l2q9Ff3y0UPA4z8w0znXemFmdqXWVZwSiKQRDnVldcKPg4bIYTEM4ja6wtk4IrOZjP+r0p&#10;ptpeeE/nzBciQNilqKD0vkmldHlJBl1kG+LgfdrWoA+yLaRu8RLgppZJHD9JgxWHhRIbWpWUn7If&#10;o+Dot4dvTtbHt/Vu8f4ss6/lZnJT6mHQLV5AeOr8PfzfftUKkvEj/J0JR0DO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5muaLHAAAA3AAAAA8AAAAAAAAAAAAAAAAAmAIAAGRy&#10;cy9kb3ducmV2LnhtbFBLBQYAAAAABAAEAPUAAACMAwAAAAA=&#10;" fillcolor="#00b050" strokeweight="3pt">
                  <v:textbox>
                    <w:txbxContent>
                      <w:p w:rsidR="00543B21" w:rsidRDefault="00543B21" w:rsidP="00543B21">
                        <w:pPr>
                          <w:rPr>
                            <w:lang w:val="sv-SE"/>
                          </w:rPr>
                        </w:pPr>
                      </w:p>
                      <w:p w:rsidR="00543B21" w:rsidRDefault="00543B21" w:rsidP="00543B21">
                        <w:pPr>
                          <w:rPr>
                            <w:lang w:val="sv-SE"/>
                          </w:rPr>
                        </w:pPr>
                      </w:p>
                      <w:p w:rsidR="00543B21" w:rsidRPr="00460401" w:rsidRDefault="00543B21" w:rsidP="00543B21">
                        <w:pPr>
                          <w:rPr>
                            <w:lang w:val="sv-SE"/>
                          </w:rPr>
                        </w:pPr>
                        <w:r>
                          <w:rPr>
                            <w:lang w:val="sv-SE"/>
                          </w:rPr>
                          <w:t>XOR</w:t>
                        </w:r>
                      </w:p>
                    </w:txbxContent>
                  </v:textbox>
                </v:rect>
                <v:line id="Line 7" o:spid="_x0000_s1029" style="position:absolute;visibility:visible;mso-wrap-style:square" from="22529,24003" to="33959,24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2BFsQAAADcAAAADwAAAGRycy9kb3ducmV2LnhtbESPwWrDMBBE74X8g9hAb7Wc4JbgWgkh&#10;UPAhOcQN6XWxtpaotXIsNXH/PioUehxm5g1TbSbXiyuNwXpWsMhyEMSt15Y7Baf3t6cViBCRNfae&#10;ScEPBdisZw8Vltrf+EjXJnYiQTiUqMDEOJRShtaQw5D5gTh5n350GJMcO6lHvCW46+Uyz1+kQ8tp&#10;weBAO0PtV/PtFBSH2uiPaR/2x7w+k70Uu0vjlXqcT9tXEJGm+B/+a9dawfK5gN8z6QjI9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jYEWxAAAANwAAAAPAAAAAAAAAAAA&#10;AAAAAKECAABkcnMvZG93bnJldi54bWxQSwUGAAAAAAQABAD5AAAAkgMAAAAA&#10;" strokeweight="2.25pt"/>
                <v:line id="Line 8" o:spid="_x0000_s1030" style="position:absolute;flip:y;visibility:visible;mso-wrap-style:square" from="24139,5805" to="32423,58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7c8gAAADcAAAADwAAAGRycy9kb3ducmV2LnhtbESPS2sCQRCE7wH/w9CCF9FZxRcbRwk+&#10;okII+Dh47Oy0u0t2epadUdd/7wSEHIvq+qprOq9NIW5Uudyygl43AkGcWJ1zquB0XHcmIJxH1lhY&#10;JgUPcjCfNd6mGGt75z3dDj4VAcIuRgWZ92UspUsyMui6tiQO3sVWBn2QVSp1hfcAN4XsR9FIGsw5&#10;NGRY0iKj5PdwNeGN5eC4e/xsPsffq0XyddkN2tH2rFSrWX+8g/BU+//jV3qrFfSHQ/gbEwggZ0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cS/7c8gAAADcAAAADwAAAAAA&#10;AAAAAAAAAAChAgAAZHJzL2Rvd25yZXYueG1sUEsFBgAAAAAEAAQA+QAAAJYDAAAAAA==&#10;" strokeweight="2.25pt"/>
                <v:line id="Line 9" o:spid="_x0000_s1031" style="position:absolute;flip:y;visibility:visible;mso-wrap-style:square" from="33959,18288" to="33959,24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05e8QAAADbAAAADwAAAGRycy9kb3ducmV2LnhtbESPQWvCQBSE7wX/w/KEXorZxFKV1FVE&#10;aAm9FI3g9ZF9zQazb0N2TdJ/3y0Uehxm5htmu59sKwbqfeNYQZakIIgrpxuuFVzKt8UGhA/IGlvH&#10;pOCbPOx3s4ct5tqNfKLhHGoRIexzVGBC6HIpfWXIok9cRxy9L9dbDFH2tdQ9jhFuW7lM05W02HBc&#10;MNjR0VB1O9+tglX2+VIUpfHvR7qF5uNq1k+ZUepxPh1eQQSawn/4r11oBc9L+P0Sf4D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fTl7xAAAANsAAAAPAAAAAAAAAAAA&#10;AAAAAKECAABkcnMvZG93bnJldi54bWxQSwUGAAAAAAQABAD5AAAAkgMAAAAA&#10;" strokeweight="2.25pt">
                  <v:stroke endarrow="block"/>
                </v:line>
                <v:line id="Line 10" o:spid="_x0000_s1032" style="position:absolute;visibility:visible;mso-wrap-style:square" from="32514,5805" to="32514,10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eV0cUAAADbAAAADwAAAGRycy9kb3ducmV2LnhtbESPQWvCQBSE7wX/w/IEL6KbNEVKdJXS&#10;UlDBamPp+ZF9JqHZtyG7auKv7xaEHoeZ+YZZrDpTiwu1rrKsIJ5GIIhzqysuFHwd3yfPIJxH1lhb&#10;JgU9OVgtBw8LTLW98iddMl+IAGGXooLS+yaV0uUlGXRT2xAH72Rbgz7ItpC6xWuAm1o+RtFMGqw4&#10;LJTY0GtJ+U92Ngq2dHubbcb7HT75+PDdJ+O4rz6UGg27lzkIT53/D9/ba60gSeDvS/gBcvk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LeV0cUAAADbAAAADwAAAAAAAAAA&#10;AAAAAAChAgAAZHJzL2Rvd25yZXYueG1sUEsFBgAAAAAEAAQA+QAAAJMDAAAAAA==&#10;" strokeweight="2.25pt">
                  <v:stroke endarrow="block"/>
                </v:line>
                <v:line id="Line 11" o:spid="_x0000_s1033" style="position:absolute;visibility:visible;mso-wrap-style:square" from="37388,13716" to="45389,13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4NpcUAAADbAAAADwAAAGRycy9kb3ducmV2LnhtbESPQWvCQBSE70L/w/IKXkQ3URGJriKW&#10;QhXUVsXzI/uahGbfhuxWE399Vyh4HGbmG2a+bEwprlS7wrKCeBCBIE6tLjhTcD6996cgnEfWWFom&#10;BS05WC5eOnNMtL3xF12PPhMBwi5BBbn3VSKlS3My6Aa2Ig7et60N+iDrTOoabwFuSjmMook0WHBY&#10;yLGidU7pz/HXKNjS/W2y6R12OPbx56Ud9eK22CvVfW1WMxCeGv8M/7c/tILRGB5fw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4NpcUAAADbAAAADwAAAAAAAAAA&#10;AAAAAAChAgAAZHJzL2Rvd25yZXYueG1sUEsFBgAAAAAEAAQA+QAAAJMDAAAAAA==&#10;" strokeweight="2.25pt">
                  <v:stroke endarrow="block"/>
                </v:line>
                <v:line id="Line 12" o:spid="_x0000_s1034" style="position:absolute;visibility:visible;mso-wrap-style:square" from="5257,6007" to="10972,6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KoPsUAAADbAAAADwAAAGRycy9kb3ducmV2LnhtbESP3WrCQBSE7wt9h+UUvBHdRKtIdBVp&#10;KdSC/+L1IXtMgtmzIbvVxKfvFgq9HGbmG2a2aEwpblS7wrKCuB+BIE6tLjhTcDp+9CYgnEfWWFom&#10;BS05WMyfn2aYaHvnPd0OPhMBwi5BBbn3VSKlS3My6Pq2Ig7exdYGfZB1JnWN9wA3pRxE0VgaLDgs&#10;5FjRW07p9fBtFHzR43286m7X+Orj3bkdduO22CjVeWmWUxCeGv8f/mt/agXDEfx+C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BKoPsUAAADbAAAADwAAAAAAAAAA&#10;AAAAAAChAgAAZHJzL2Rvd25yZXYueG1sUEsFBgAAAAAEAAQA+QAAAJMDAAAAAA==&#10;" strokeweight="2.25pt">
                  <v:stroke endarrow="block"/>
                </v:line>
                <v:line id="Line 15" o:spid="_x0000_s1035" style="position:absolute;visibility:visible;mso-wrap-style:square" from="2349,23417" to="9207,23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MHoMIAAADbAAAADwAAAGRycy9kb3ducmV2LnhtbERPTWvCQBC9C/0Pywi9SN2kipTUVUQR&#10;VFDbtPQ8ZMckNDsbsqsm/nr3IHh8vO/pvDWVuFDjSssK4mEEgjizuuRcwe/P+u0DhPPIGivLpKAj&#10;B/PZS2+KibZX/qZL6nMRQtglqKDwvk6kdFlBBt3Q1sSBO9nGoA+wyaVu8BrCTSXfo2giDZYcGgqs&#10;aVlQ9p+ejYId3VaT7eC4x7GPv/660SDuyoNSr/128QnCU+uf4od7oxWMwtjwJfwAObs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hMHoMIAAADbAAAADwAAAAAAAAAAAAAA&#10;AAChAgAAZHJzL2Rvd25yZXYueG1sUEsFBgAAAAAEAAQA+QAAAJADAAAAAA==&#10;" strokeweight="2.25pt">
                  <v:stroke endarrow="block"/>
                </v:line>
                <v:shapetype id="_x0000_t202" coordsize="21600,21600" o:spt="202" path="m,l,21600r21600,l21600,xe">
                  <v:stroke joinstyle="miter"/>
                  <v:path gradientshapeok="t" o:connecttype="rect"/>
                </v:shapetype>
                <v:shape id="Text Box 16" o:spid="_x0000_s1036" type="#_x0000_t202" style="position:absolute;left:40817;top:8001;width:12573;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OgMEA&#10;AADbAAAADwAAAGRycy9kb3ducmV2LnhtbESP3YrCMBSE74V9h3AWvBFN13+rUVRQvPXnAY7NsS02&#10;J6XJ2vr2RhC8HGbmG2axakwhHlS53LKCv14EgjixOudUweW8605BOI+ssbBMCp7kYLX8aS0w1rbm&#10;Iz1OPhUBwi5GBZn3ZSylSzIy6Hq2JA7ezVYGfZBVKnWFdYCbQvajaCwN5hwWMixpm1FyP/0bBbdD&#10;3RnN6uveXybH4XiD+eRqn0q1f5v1HISnxn/Dn/ZBKxjM4P0l/A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uDoDBAAAA2wAAAA8AAAAAAAAAAAAAAAAAmAIAAGRycy9kb3du&#10;cmV2LnhtbFBLBQYAAAAABAAEAPUAAACGAwAAAAA=&#10;" stroked="f">
                  <v:textbox>
                    <w:txbxContent>
                      <w:p w:rsidR="00543B21" w:rsidRPr="00460401" w:rsidRDefault="00543B21" w:rsidP="00543B21">
                        <w:pPr>
                          <w:rPr>
                            <w:lang w:val="sv-SE"/>
                          </w:rPr>
                        </w:pPr>
                        <w:r>
                          <w:rPr>
                            <w:lang w:val="sv-SE"/>
                          </w:rPr>
                          <w:t>Group common PDCCH</w:t>
                        </w:r>
                      </w:p>
                    </w:txbxContent>
                  </v:textbox>
                </v:shape>
                <v:shape id="Text Box 17" o:spid="_x0000_s1037" type="#_x0000_t202" style="position:absolute;left:1975;width:9737;height:4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LUYLwA&#10;AADbAAAADwAAAGRycy9kb3ducmV2LnhtbERPSwrCMBDdC94hjOBGNFX8VqOooLj1c4CxGdtiMylN&#10;tPX2ZiG4fLz/atOYQrypcrllBcNBBII4sTrnVMHteujPQTiPrLGwTAo+5GCzbrdWGGtb85neF5+K&#10;EMIuRgWZ92UspUsyMugGtiQO3MNWBn2AVSp1hXUIN4UcRdFUGsw5NGRY0j6j5Hl5GQWPU92bLOr7&#10;0d9m5/F0h/nsbj9KdTvNdgnCU+P/4p/7pBWMw/r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e0tRgvAAAANsAAAAPAAAAAAAAAAAAAAAAAJgCAABkcnMvZG93bnJldi54&#10;bWxQSwUGAAAAAAQABAD1AAAAgQMAAAAA&#10;" stroked="f">
                  <v:textbox>
                    <w:txbxContent>
                      <w:p w:rsidR="00543B21" w:rsidRDefault="00543B21" w:rsidP="00543B21">
                        <w:pPr>
                          <w:rPr>
                            <w:lang w:val="sv-SE"/>
                          </w:rPr>
                        </w:pPr>
                        <w:r>
                          <w:rPr>
                            <w:lang w:val="sv-SE"/>
                          </w:rPr>
                          <w:t>Information</w:t>
                        </w:r>
                      </w:p>
                      <w:p w:rsidR="00543B21" w:rsidRPr="00460401" w:rsidRDefault="00543B21" w:rsidP="00543B21">
                        <w:pPr>
                          <w:rPr>
                            <w:lang w:val="sv-SE"/>
                          </w:rPr>
                        </w:pPr>
                        <w:r>
                          <w:rPr>
                            <w:lang w:val="sv-SE"/>
                          </w:rPr>
                          <w:t>Block</w:t>
                        </w:r>
                      </w:p>
                    </w:txbxContent>
                  </v:textbox>
                </v:shape>
                <v:rect id="Rectangle 262" o:spid="_x0000_s1038" style="position:absolute;left:10972;top:3438;width:13387;height:59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fIpMcA&#10;AADcAAAADwAAAGRycy9kb3ducmV2LnhtbESPT2vCQBTE70K/w/IKXqRuzEEkdQ2l4h/QizaH9vbI&#10;viZps29Ddk2in94tFDwOM/MbZpkOphYdta6yrGA2jUAQ51ZXXCjIPjYvCxDOI2usLZOCKzlIV0+j&#10;JSba9nyi7uwLESDsElRQet8kUrq8JINuahvi4H3b1qAPsi2kbrEPcFPLOIrm0mDFYaHEht5Lyn/P&#10;F6Ngst/y5+bLLn763eG23mXHU8ZOqfHz8PYKwtPgH+H/9l4riOcx/J0JR0Cu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XyKTHAAAA3AAAAA8AAAAAAAAAAAAAAAAAmAIAAGRy&#10;cy9kb3ducmV2LnhtbFBLBQYAAAAABAAEAPUAAACMAwAAAAA=&#10;" fillcolor="#c00000" strokecolor="black [3200]" strokeweight="2.25pt">
                  <v:textbox>
                    <w:txbxContent>
                      <w:p w:rsidR="00543B21" w:rsidRPr="00AC3408" w:rsidRDefault="00543B21" w:rsidP="00543B21">
                        <w:pPr>
                          <w:jc w:val="center"/>
                        </w:pPr>
                        <w:r>
                          <w:t>(20,</w:t>
                        </w:r>
                        <w:r w:rsidR="001D4E16">
                          <w:t xml:space="preserve"> x</w:t>
                        </w:r>
                        <w:r>
                          <w:t>) Reed-Muller</w:t>
                        </w:r>
                        <w:r w:rsidR="001D4E16">
                          <w:t>/Polar</w:t>
                        </w:r>
                        <w:r>
                          <w:t xml:space="preserve"> Code</w:t>
                        </w:r>
                      </w:p>
                    </w:txbxContent>
                  </v:textbox>
                </v:rect>
                <v:rect id="Rectangle 103" o:spid="_x0000_s1039" style="position:absolute;left:9334;top:20380;width:13386;height:59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tmc8IA&#10;AADcAAAADwAAAGRycy9kb3ducmV2LnhtbERPTUsDMRC9C/6HMII3m7RqkbVpKVXRgz20ir0Om3Gz&#10;dDNZkrG7/nsjCN7m8T5nsRpDp06UchvZwnRiQBHX0bXcWHh/e7q6A5UF2WEXmSx8U4bV8vxsgZWL&#10;A+/otJdGlRDOFVrwIn2lda49BcyT2BMX7jOmgFJgarRLOJTw0OmZMXMdsOXS4LGnjaf6uP8KFrbH&#10;cbpOhwd/IDEfrzLw483ts7WXF+P6HpTQKP/iP/eLK/PNNfw+Uy7Qy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2ZzwgAAANwAAAAPAAAAAAAAAAAAAAAAAJgCAABkcnMvZG93&#10;bnJldi54bWxQSwUGAAAAAAQABAD1AAAAhwMAAAAA&#10;" fillcolor="#92d050" strokecolor="black [3200]" strokeweight="2.25pt">
                  <v:textbox>
                    <w:txbxContent>
                      <w:p w:rsidR="00543B21" w:rsidRDefault="002E5508" w:rsidP="00543B21">
                        <w:pPr>
                          <w:pStyle w:val="NormalWeb"/>
                          <w:overflowPunct w:val="0"/>
                          <w:spacing w:before="0" w:beforeAutospacing="0" w:after="120" w:afterAutospacing="0"/>
                          <w:jc w:val="center"/>
                        </w:pPr>
                        <w:r>
                          <w:rPr>
                            <w:rFonts w:eastAsia="Times New Roman"/>
                            <w:sz w:val="20"/>
                            <w:szCs w:val="20"/>
                          </w:rPr>
                          <w:t xml:space="preserve">(20, 16) </w:t>
                        </w:r>
                        <w:r w:rsidR="003C7092">
                          <w:rPr>
                            <w:rFonts w:eastAsia="Times New Roman"/>
                            <w:sz w:val="20"/>
                            <w:szCs w:val="20"/>
                          </w:rPr>
                          <w:t xml:space="preserve">polar </w:t>
                        </w:r>
                        <w:r w:rsidR="00543B21">
                          <w:rPr>
                            <w:rFonts w:eastAsia="Times New Roman"/>
                            <w:sz w:val="20"/>
                            <w:szCs w:val="20"/>
                          </w:rPr>
                          <w:t>Code</w:t>
                        </w:r>
                      </w:p>
                    </w:txbxContent>
                  </v:textbox>
                </v:rect>
                <v:shape id="Text Box 17" o:spid="_x0000_s1040" type="#_x0000_t202" style="position:absolute;left:2165;top:14528;width:9735;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dJEsIA&#10;AADcAAAADwAAAGRycy9kb3ducmV2LnhtbERPzWrCQBC+C32HZQq9SLNp0ajRTWiFFq+mPsAkOybB&#10;7GzIbk18e7dQ8DYf3+/s8sl04kqDay0reItiEMSV1S3XCk4/X69rEM4ja+wsk4IbOcizp9kOU21H&#10;PtK18LUIIexSVNB436dSuqohgy6yPXHgznYw6AMcaqkHHEO46eR7HCfSYMuhocGe9g1Vl+LXKDgf&#10;xvlyM5bf/rQ6LpJPbFelvSn18jx9bEF4mvxD/O8+6DA/XsDfM+ECm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p0kSwgAAANwAAAAPAAAAAAAAAAAAAAAAAJgCAABkcnMvZG93&#10;bnJldi54bWxQSwUGAAAAAAQABAD1AAAAhwMAAAAA&#10;" stroked="f">
                  <v:textbox>
                    <w:txbxContent>
                      <w:p w:rsidR="00543B21" w:rsidRDefault="00543B21" w:rsidP="00543B21">
                        <w:pPr>
                          <w:pStyle w:val="NormalWeb"/>
                          <w:overflowPunct w:val="0"/>
                          <w:spacing w:before="0" w:beforeAutospacing="0" w:after="120" w:afterAutospacing="0"/>
                          <w:jc w:val="both"/>
                          <w:rPr>
                            <w:rFonts w:ascii="Calibri" w:eastAsia="Times New Roman" w:hAnsi="Calibri"/>
                            <w:sz w:val="20"/>
                            <w:szCs w:val="20"/>
                          </w:rPr>
                        </w:pPr>
                        <w:r>
                          <w:rPr>
                            <w:rFonts w:ascii="Calibri" w:eastAsia="Times New Roman" w:hAnsi="Calibri"/>
                            <w:sz w:val="20"/>
                            <w:szCs w:val="20"/>
                          </w:rPr>
                          <w:t xml:space="preserve">Common </w:t>
                        </w:r>
                      </w:p>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RNTI</w:t>
                        </w:r>
                      </w:p>
                    </w:txbxContent>
                  </v:textbox>
                </v:shape>
                <w10:anchorlock/>
              </v:group>
            </w:pict>
          </mc:Fallback>
        </mc:AlternateContent>
      </w:r>
    </w:p>
    <w:p w:rsidR="00543B21" w:rsidRDefault="00CB3C38" w:rsidP="00543B21">
      <w:pPr>
        <w:pStyle w:val="Caption"/>
        <w:rPr>
          <w:sz w:val="24"/>
        </w:rPr>
      </w:pPr>
      <w:r>
        <w:t xml:space="preserve">Figure 1 Post attachment of common RNTI </w:t>
      </w:r>
      <w:r w:rsidR="00543B21">
        <w:t xml:space="preserve"> </w:t>
      </w:r>
    </w:p>
    <w:p w:rsidR="00543B21" w:rsidRDefault="00CB3C38" w:rsidP="00CB3C38">
      <w:pPr>
        <w:keepNext/>
        <w:rPr>
          <w:sz w:val="24"/>
        </w:rPr>
      </w:pPr>
      <w:r>
        <w:rPr>
          <w:sz w:val="24"/>
        </w:rPr>
        <w:lastRenderedPageBreak/>
        <w:t>Figure 1</w:t>
      </w:r>
      <w:r w:rsidR="00543B21">
        <w:rPr>
          <w:sz w:val="24"/>
        </w:rPr>
        <w:t xml:space="preserve"> shows the block diagram of the proposed structure with an example of X= 5 information bits, coded bits of Y=20, RNTI length of R =16 bits.  </w:t>
      </w:r>
      <w:r w:rsidR="001D4E16">
        <w:rPr>
          <w:sz w:val="24"/>
        </w:rPr>
        <w:t>Note that x &lt;12, then Reed-Muller code is used, while if it is greater than 11, then Polar code is used for encoding the information bits.</w:t>
      </w:r>
    </w:p>
    <w:p w:rsidR="00543B21" w:rsidRPr="00B8246E" w:rsidRDefault="00543B21" w:rsidP="00A1005B">
      <w:pPr>
        <w:keepNext/>
        <w:jc w:val="both"/>
        <w:rPr>
          <w:sz w:val="24"/>
        </w:rPr>
      </w:pPr>
      <w:r w:rsidRPr="00B8246E">
        <w:rPr>
          <w:rStyle w:val="IvDbodytextChar"/>
          <w:rFonts w:asciiTheme="minorHAnsi" w:eastAsiaTheme="minorHAnsi" w:hAnsiTheme="minorHAnsi"/>
          <w:b/>
          <w:sz w:val="24"/>
        </w:rPr>
        <w:t xml:space="preserve">2 </w:t>
      </w:r>
      <w:r w:rsidR="00CA45CC">
        <w:rPr>
          <w:rStyle w:val="IvDbodytextChar"/>
          <w:rFonts w:asciiTheme="minorHAnsi" w:eastAsiaTheme="minorHAnsi" w:hAnsiTheme="minorHAnsi"/>
          <w:b/>
          <w:sz w:val="24"/>
        </w:rPr>
        <w:t>Pre-attachment</w:t>
      </w:r>
      <w:r w:rsidR="00400A08">
        <w:rPr>
          <w:rStyle w:val="IvDbodytextChar"/>
          <w:rFonts w:asciiTheme="minorHAnsi" w:eastAsiaTheme="minorHAnsi" w:hAnsiTheme="minorHAnsi"/>
          <w:b/>
          <w:sz w:val="24"/>
        </w:rPr>
        <w:t xml:space="preserve"> of the common </w:t>
      </w:r>
      <w:r w:rsidR="00CA45CC">
        <w:rPr>
          <w:rStyle w:val="IvDbodytextChar"/>
          <w:rFonts w:asciiTheme="minorHAnsi" w:eastAsiaTheme="minorHAnsi" w:hAnsiTheme="minorHAnsi"/>
          <w:b/>
          <w:sz w:val="24"/>
        </w:rPr>
        <w:t>RNTI</w:t>
      </w:r>
      <w:r w:rsidR="00CA45CC" w:rsidRPr="00F87E38">
        <w:rPr>
          <w:rStyle w:val="IvDbodytextChar"/>
          <w:rFonts w:asciiTheme="minorHAnsi" w:eastAsiaTheme="minorHAnsi" w:hAnsiTheme="minorHAnsi"/>
          <w:b/>
          <w:sz w:val="24"/>
        </w:rPr>
        <w:t>:</w:t>
      </w:r>
      <w:r w:rsidRPr="00B8246E">
        <w:rPr>
          <w:rStyle w:val="IvDbodytextChar"/>
          <w:rFonts w:asciiTheme="minorHAnsi" w:eastAsiaTheme="minorHAnsi" w:hAnsiTheme="minorHAnsi"/>
          <w:b/>
          <w:sz w:val="24"/>
        </w:rPr>
        <w:t xml:space="preserve">  </w:t>
      </w:r>
      <w:r>
        <w:rPr>
          <w:sz w:val="24"/>
        </w:rPr>
        <w:t>In this technique, instead of using two encoders</w:t>
      </w:r>
      <w:r w:rsidR="00F93D60">
        <w:rPr>
          <w:sz w:val="24"/>
        </w:rPr>
        <w:t xml:space="preserve"> as in post attachment</w:t>
      </w:r>
      <w:r>
        <w:rPr>
          <w:sz w:val="24"/>
        </w:rPr>
        <w:t xml:space="preserve">, the </w:t>
      </w:r>
      <w:r w:rsidR="00F93D60">
        <w:rPr>
          <w:sz w:val="24"/>
        </w:rPr>
        <w:t>gNB</w:t>
      </w:r>
      <w:r>
        <w:rPr>
          <w:sz w:val="24"/>
        </w:rPr>
        <w:t xml:space="preserve"> uses only one encoder and appends the common RNTI before the encod</w:t>
      </w:r>
      <w:r w:rsidR="00F93D60">
        <w:rPr>
          <w:sz w:val="24"/>
        </w:rPr>
        <w:t>ing process as shown in Figure 2</w:t>
      </w:r>
      <w:r>
        <w:rPr>
          <w:sz w:val="24"/>
        </w:rPr>
        <w:t xml:space="preserve">. Note that we use append bits which means adding zeros to the information block so that it is equal to the length of common RNTI say R bits.  Once the information bits are appended the resultant bits are masked with the common RNTI i.e. XOR operation. The resultant bits are passed through the encoder.  Figure 2 shows the encoding process for this method. </w:t>
      </w:r>
    </w:p>
    <w:p w:rsidR="00543B21" w:rsidRDefault="00543B21" w:rsidP="00543B21">
      <w:pPr>
        <w:keepNext/>
        <w:ind w:left="360"/>
      </w:pPr>
      <w:r>
        <w:rPr>
          <w:noProof/>
          <w:sz w:val="28"/>
          <w:szCs w:val="28"/>
        </w:rPr>
        <mc:AlternateContent>
          <mc:Choice Requires="wpc">
            <w:drawing>
              <wp:inline distT="0" distB="0" distL="0" distR="0" wp14:anchorId="0F739864" wp14:editId="60A9DBBD">
                <wp:extent cx="6024893" cy="3591762"/>
                <wp:effectExtent l="0" t="0" r="71120" b="0"/>
                <wp:docPr id="276" name="Canvas 27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63" name="Rectangle 6"/>
                        <wps:cNvSpPr>
                          <a:spLocks noChangeArrowheads="1"/>
                        </wps:cNvSpPr>
                        <wps:spPr bwMode="auto">
                          <a:xfrm>
                            <a:off x="2343519" y="1067246"/>
                            <a:ext cx="685800" cy="800100"/>
                          </a:xfrm>
                          <a:prstGeom prst="rect">
                            <a:avLst/>
                          </a:prstGeom>
                          <a:solidFill>
                            <a:srgbClr val="00B050"/>
                          </a:solidFill>
                          <a:ln w="38100">
                            <a:solidFill>
                              <a:srgbClr val="000000"/>
                            </a:solidFill>
                            <a:miter lim="800000"/>
                            <a:headEnd/>
                            <a:tailEnd/>
                          </a:ln>
                        </wps:spPr>
                        <wps:txbx>
                          <w:txbxContent>
                            <w:p w:rsidR="00543B21" w:rsidRDefault="00543B21" w:rsidP="00543B21">
                              <w:pPr>
                                <w:rPr>
                                  <w:lang w:val="sv-SE"/>
                                </w:rPr>
                              </w:pPr>
                            </w:p>
                            <w:p w:rsidR="00543B21" w:rsidRDefault="00543B21" w:rsidP="00543B21">
                              <w:pPr>
                                <w:rPr>
                                  <w:lang w:val="sv-SE"/>
                                </w:rPr>
                              </w:pPr>
                            </w:p>
                            <w:p w:rsidR="00543B21" w:rsidRPr="00460401" w:rsidRDefault="00543B21" w:rsidP="00543B21">
                              <w:pPr>
                                <w:rPr>
                                  <w:lang w:val="sv-SE"/>
                                </w:rPr>
                              </w:pPr>
                              <w:r>
                                <w:rPr>
                                  <w:lang w:val="sv-SE"/>
                                </w:rPr>
                                <w:t>XOR</w:t>
                              </w:r>
                            </w:p>
                          </w:txbxContent>
                        </wps:txbx>
                        <wps:bodyPr rot="0" vert="horz" wrap="square" lIns="91440" tIns="45720" rIns="91440" bIns="45720" anchor="t" anchorCtr="0" upright="1">
                          <a:noAutofit/>
                        </wps:bodyPr>
                      </wps:wsp>
                      <wps:wsp>
                        <wps:cNvPr id="264" name="Line 7"/>
                        <wps:cNvCnPr>
                          <a:cxnSpLocks noChangeShapeType="1"/>
                        </wps:cNvCnPr>
                        <wps:spPr bwMode="auto">
                          <a:xfrm>
                            <a:off x="1616572" y="2429086"/>
                            <a:ext cx="11430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65" name="Line 8"/>
                        <wps:cNvCnPr>
                          <a:cxnSpLocks noChangeShapeType="1"/>
                        </wps:cNvCnPr>
                        <wps:spPr bwMode="auto">
                          <a:xfrm flipV="1">
                            <a:off x="1784822" y="601395"/>
                            <a:ext cx="828444" cy="902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66" name="Line 9"/>
                        <wps:cNvCnPr>
                          <a:cxnSpLocks noChangeShapeType="1"/>
                        </wps:cNvCnPr>
                        <wps:spPr bwMode="auto">
                          <a:xfrm flipV="1">
                            <a:off x="2759571" y="1867344"/>
                            <a:ext cx="0" cy="5715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7" name="Line 10"/>
                        <wps:cNvCnPr>
                          <a:cxnSpLocks noChangeShapeType="1"/>
                        </wps:cNvCnPr>
                        <wps:spPr bwMode="auto">
                          <a:xfrm>
                            <a:off x="2613267" y="601395"/>
                            <a:ext cx="0" cy="4572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8" name="Line 11"/>
                        <wps:cNvCnPr>
                          <a:cxnSpLocks noChangeShapeType="1"/>
                        </wps:cNvCnPr>
                        <wps:spPr bwMode="auto">
                          <a:xfrm>
                            <a:off x="3065895" y="1415491"/>
                            <a:ext cx="80010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9" name="Line 12"/>
                        <wps:cNvCnPr>
                          <a:cxnSpLocks noChangeShapeType="1"/>
                        </wps:cNvCnPr>
                        <wps:spPr bwMode="auto">
                          <a:xfrm>
                            <a:off x="525779" y="600761"/>
                            <a:ext cx="571500" cy="63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1" name="Text Box 16"/>
                        <wps:cNvSpPr txBox="1">
                          <a:spLocks noChangeArrowheads="1"/>
                        </wps:cNvSpPr>
                        <wps:spPr bwMode="auto">
                          <a:xfrm>
                            <a:off x="4767580" y="1723538"/>
                            <a:ext cx="12573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3B21" w:rsidRPr="00460401" w:rsidRDefault="00543B21" w:rsidP="00543B21">
                              <w:pPr>
                                <w:rPr>
                                  <w:lang w:val="sv-SE"/>
                                </w:rPr>
                              </w:pPr>
                              <w:r>
                                <w:rPr>
                                  <w:lang w:val="sv-SE"/>
                                </w:rPr>
                                <w:t>Group common PDCCH</w:t>
                              </w:r>
                            </w:p>
                          </w:txbxContent>
                        </wps:txbx>
                        <wps:bodyPr rot="0" vert="horz" wrap="square" lIns="91440" tIns="45720" rIns="91440" bIns="45720" anchor="t" anchorCtr="0" upright="1">
                          <a:noAutofit/>
                        </wps:bodyPr>
                      </wps:wsp>
                      <wps:wsp>
                        <wps:cNvPr id="272" name="Text Box 17"/>
                        <wps:cNvSpPr txBox="1">
                          <a:spLocks noChangeArrowheads="1"/>
                        </wps:cNvSpPr>
                        <wps:spPr bwMode="auto">
                          <a:xfrm>
                            <a:off x="197510" y="0"/>
                            <a:ext cx="973744" cy="4828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3B21" w:rsidRDefault="00543B21" w:rsidP="00543B21">
                              <w:pPr>
                                <w:rPr>
                                  <w:lang w:val="sv-SE"/>
                                </w:rPr>
                              </w:pPr>
                              <w:r>
                                <w:rPr>
                                  <w:lang w:val="sv-SE"/>
                                </w:rPr>
                                <w:t>Information</w:t>
                              </w:r>
                            </w:p>
                            <w:p w:rsidR="00543B21" w:rsidRPr="00460401" w:rsidRDefault="00543B21" w:rsidP="00543B21">
                              <w:pPr>
                                <w:rPr>
                                  <w:lang w:val="sv-SE"/>
                                </w:rPr>
                              </w:pPr>
                              <w:r>
                                <w:rPr>
                                  <w:lang w:val="sv-SE"/>
                                </w:rPr>
                                <w:t>Block</w:t>
                              </w:r>
                            </w:p>
                          </w:txbxContent>
                        </wps:txbx>
                        <wps:bodyPr rot="0" vert="horz" wrap="square" lIns="91440" tIns="45720" rIns="91440" bIns="45720" anchor="t" anchorCtr="0" upright="1">
                          <a:noAutofit/>
                        </wps:bodyPr>
                      </wps:wsp>
                      <wps:wsp>
                        <wps:cNvPr id="273" name="Rectangle 273"/>
                        <wps:cNvSpPr/>
                        <wps:spPr>
                          <a:xfrm>
                            <a:off x="3877056" y="1104595"/>
                            <a:ext cx="1338681" cy="592531"/>
                          </a:xfrm>
                          <a:prstGeom prst="rect">
                            <a:avLst/>
                          </a:prstGeom>
                          <a:solidFill>
                            <a:srgbClr val="92D050"/>
                          </a:solidFill>
                        </wps:spPr>
                        <wps:style>
                          <a:lnRef idx="2">
                            <a:schemeClr val="dk1"/>
                          </a:lnRef>
                          <a:fillRef idx="1">
                            <a:schemeClr val="lt1"/>
                          </a:fillRef>
                          <a:effectRef idx="0">
                            <a:schemeClr val="dk1"/>
                          </a:effectRef>
                          <a:fontRef idx="minor">
                            <a:schemeClr val="dk1"/>
                          </a:fontRef>
                        </wps:style>
                        <wps:txbx>
                          <w:txbxContent>
                            <w:p w:rsidR="00543B21" w:rsidRPr="00AC3408" w:rsidRDefault="004D1D4B" w:rsidP="00543B21">
                              <w:pPr>
                                <w:jc w:val="center"/>
                              </w:pPr>
                              <w:r>
                                <w:t xml:space="preserve">(20, 16) Polar </w:t>
                              </w:r>
                              <w:r w:rsidR="00543B21">
                                <w:t>Code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5" name="Text Box 17"/>
                        <wps:cNvSpPr txBox="1">
                          <a:spLocks noChangeArrowheads="1"/>
                        </wps:cNvSpPr>
                        <wps:spPr bwMode="auto">
                          <a:xfrm>
                            <a:off x="977357" y="1979540"/>
                            <a:ext cx="973455" cy="482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3B21" w:rsidRDefault="00543B21" w:rsidP="00543B21">
                              <w:pPr>
                                <w:pStyle w:val="NormalWeb"/>
                                <w:overflowPunct w:val="0"/>
                                <w:spacing w:before="0" w:beforeAutospacing="0" w:after="120" w:afterAutospacing="0"/>
                                <w:jc w:val="both"/>
                                <w:rPr>
                                  <w:rFonts w:ascii="Calibri" w:eastAsia="Times New Roman" w:hAnsi="Calibri"/>
                                  <w:sz w:val="20"/>
                                  <w:szCs w:val="20"/>
                                </w:rPr>
                              </w:pPr>
                              <w:r>
                                <w:rPr>
                                  <w:rFonts w:ascii="Calibri" w:eastAsia="Times New Roman" w:hAnsi="Calibri"/>
                                  <w:sz w:val="20"/>
                                  <w:szCs w:val="20"/>
                                </w:rPr>
                                <w:t xml:space="preserve">Common </w:t>
                              </w:r>
                            </w:p>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RNTI</w:t>
                              </w:r>
                            </w:p>
                          </w:txbxContent>
                        </wps:txbx>
                        <wps:bodyPr rot="0" vert="horz" wrap="square" lIns="91440" tIns="45720" rIns="91440" bIns="45720" anchor="t" anchorCtr="0" upright="1">
                          <a:noAutofit/>
                        </wps:bodyPr>
                      </wps:wsp>
                      <wps:wsp>
                        <wps:cNvPr id="119" name="Rectangle 119"/>
                        <wps:cNvSpPr>
                          <a:spLocks noChangeArrowheads="1"/>
                        </wps:cNvSpPr>
                        <wps:spPr bwMode="auto">
                          <a:xfrm>
                            <a:off x="1109030" y="267783"/>
                            <a:ext cx="685165" cy="799465"/>
                          </a:xfrm>
                          <a:prstGeom prst="rect">
                            <a:avLst/>
                          </a:prstGeom>
                          <a:solidFill>
                            <a:srgbClr val="0070C0"/>
                          </a:solidFill>
                          <a:ln w="38100">
                            <a:solidFill>
                              <a:srgbClr val="000000"/>
                            </a:solidFill>
                            <a:miter lim="800000"/>
                            <a:headEnd/>
                            <a:tailEnd/>
                          </a:ln>
                        </wps:spPr>
                        <wps:txbx>
                          <w:txbxContent>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 </w:t>
                              </w:r>
                            </w:p>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 xml:space="preserve"> Append bits </w:t>
                              </w:r>
                            </w:p>
                          </w:txbxContent>
                        </wps:txbx>
                        <wps:bodyPr rot="0" vert="horz" wrap="square" lIns="91440" tIns="45720" rIns="91440" bIns="45720" anchor="t" anchorCtr="0" upright="1">
                          <a:noAutofit/>
                        </wps:bodyPr>
                      </wps:wsp>
                      <wps:wsp>
                        <wps:cNvPr id="120" name="Line 11"/>
                        <wps:cNvCnPr>
                          <a:cxnSpLocks noChangeShapeType="1"/>
                        </wps:cNvCnPr>
                        <wps:spPr bwMode="auto">
                          <a:xfrm>
                            <a:off x="5206253" y="1400847"/>
                            <a:ext cx="799465"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0F739864" id="Canvas 276" o:spid="_x0000_s1041" editas="canvas" style="width:474.4pt;height:282.8pt;mso-position-horizontal-relative:char;mso-position-vertical-relative:line" coordsize="60248,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">
                <v:shape id="_x0000_s1042" type="#_x0000_t75" style="position:absolute;width:60248;height:35915;visibility:visible;mso-wrap-style:square">
                  <v:fill o:detectmouseclick="t"/>
                  <v:path o:connecttype="none"/>
                </v:shape>
                <v:rect id="Rectangle 6" o:spid="_x0000_s1043" style="position:absolute;left:23435;top:10672;width:6858;height:8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pzH8cA&#10;AADcAAAADwAAAGRycy9kb3ducmV2LnhtbESPQWvCQBSE70L/w/IKvemmKViJ2YgVxUIP1ejF2yP7&#10;TNJm38bsqml/vSsUehxm5hsmnfWmERfqXG1ZwfMoAkFcWF1zqWC/Ww0nIJxH1thYJgU/5GCWPQxS&#10;TLS98pYuuS9FgLBLUEHlfZtI6YqKDLqRbYmDd7SdQR9kV0rd4TXATSPjKBpLgzWHhQpbWlRUfOdn&#10;o+Dg17sTx8vDx/JzvnmV+dfbavKr1NNjP5+C8NT7//Bf+10riMcvcD8TjoDM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AKcx/HAAAA3AAAAA8AAAAAAAAAAAAAAAAAmAIAAGRy&#10;cy9kb3ducmV2LnhtbFBLBQYAAAAABAAEAPUAAACMAwAAAAA=&#10;" fillcolor="#00b050" strokeweight="3pt">
                  <v:textbox>
                    <w:txbxContent>
                      <w:p w:rsidR="00543B21" w:rsidRDefault="00543B21" w:rsidP="00543B21">
                        <w:pPr>
                          <w:rPr>
                            <w:lang w:val="sv-SE"/>
                          </w:rPr>
                        </w:pPr>
                      </w:p>
                      <w:p w:rsidR="00543B21" w:rsidRDefault="00543B21" w:rsidP="00543B21">
                        <w:pPr>
                          <w:rPr>
                            <w:lang w:val="sv-SE"/>
                          </w:rPr>
                        </w:pPr>
                      </w:p>
                      <w:p w:rsidR="00543B21" w:rsidRPr="00460401" w:rsidRDefault="00543B21" w:rsidP="00543B21">
                        <w:pPr>
                          <w:rPr>
                            <w:lang w:val="sv-SE"/>
                          </w:rPr>
                        </w:pPr>
                        <w:r>
                          <w:rPr>
                            <w:lang w:val="sv-SE"/>
                          </w:rPr>
                          <w:t>XOR</w:t>
                        </w:r>
                      </w:p>
                    </w:txbxContent>
                  </v:textbox>
                </v:rect>
                <v:line id="Line 7" o:spid="_x0000_s1044" style="position:absolute;visibility:visible;mso-wrap-style:square" from="16165,24290" to="27595,242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FLq8MAAADcAAAADwAAAGRycy9kb3ducmV2LnhtbESPQYvCMBSE78L+h/AWvNlUKSJdo4iw&#10;0IMerOJeH83bpmzzUpus1n9vBMHjMDPfMMv1YFtxpd43jhVMkxQEceV0w7WC0/F7sgDhA7LG1jEp&#10;uJOH9epjtMRcuxsf6FqGWkQI+xwVmBC6XEpfGbLoE9cRR+/X9RZDlH0tdY+3CLetnKXpXFpsOC4Y&#10;7GhrqPor/62CbF8Y/TPs/O6QFmdqLtn2Ujqlxp/D5gtEoCG8w692oRXM5hk8z8QjIF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7hS6vDAAAA3AAAAA8AAAAAAAAAAAAA&#10;AAAAoQIAAGRycy9kb3ducmV2LnhtbFBLBQYAAAAABAAEAPkAAACRAwAAAAA=&#10;" strokeweight="2.25pt"/>
                <v:line id="Line 8" o:spid="_x0000_s1045" style="position:absolute;flip:y;visibility:visible;mso-wrap-style:square" from="17848,6013" to="26132,6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MxzsgAAADcAAAADwAAAGRycy9kb3ducmV2LnhtbESPS2sCQRCE74H8h6EDuYjOKj7CuqOI&#10;xkRBhGgOObY7vQ/c6Vl2Rl3/vRMI5FhU11ddybw1lbhS40rLCvq9CARxanXJuYLv47r7BsJ5ZI2V&#10;ZVJwJwfz2fNTgrG2N/6i68HnIkDYxaig8L6OpXRpQQZdz9bEwctsY9AH2eRSN3gLcFPJQRSNpcGS&#10;Q0OBNS0LSs+HiwlvrIbH7f30+THZvy/TXbYddqLNj1KvL+1iCsJT6/+P/9IbrWAwHsHvmEAAOXs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v0MxzsgAAADcAAAADwAAAAAA&#10;AAAAAAAAAAChAgAAZHJzL2Rvd25yZXYueG1sUEsFBgAAAAAEAAQA+QAAAJYDAAAAAA==&#10;" strokeweight="2.25pt"/>
                <v:line id="Line 9" o:spid="_x0000_s1046" style="position:absolute;flip:y;visibility:visible;mso-wrap-style:square" from="27595,18673" to="27595,24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5yw8QAAADcAAAADwAAAGRycy9kb3ducmV2LnhtbESPwWrDMBBE74H+g9hCL6GRHYhT3Cih&#10;BFpMLyFJodfF2loi1spYqu3+fRUI5DjMzBtms5tcKwbqg/WsIF9kIIhrry03Cr7O788vIEJE1th6&#10;JgV/FGC3fZhtsNR+5CMNp9iIBOFQogITY1dKGWpDDsPCd8TJ+/G9w5hk30jd45jgrpXLLCukQ8tp&#10;wWBHe0P15fTrFBT5YVVVZxM+9nSJ9vPbrOe5UerpcXp7BRFpivfwrV1pBcuigOuZdATk9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nLDxAAAANwAAAAPAAAAAAAAAAAA&#10;AAAAAKECAABkcnMvZG93bnJldi54bWxQSwUGAAAAAAQABAD5AAAAkgMAAAAA&#10;" strokeweight="2.25pt">
                  <v:stroke endarrow="block"/>
                </v:line>
                <v:line id="Line 10" o:spid="_x0000_s1047" style="position:absolute;visibility:visible;mso-wrap-style:square" from="26132,6013" to="26132,105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M6IcYAAADcAAAADwAAAGRycy9kb3ducmV2LnhtbESP3WrCQBSE74W+w3IEb6RuYksqqauI&#10;UrAFf1t6fcgek9Ds2ZDdatKndwuCl8PMfMNM562pxJkaV1pWEI8iEMSZ1SXnCr4+3x4nIJxH1lhZ&#10;JgUdOZjPHnpTTLW98IHOR5+LAGGXooLC+zqV0mUFGXQjWxMH72Qbgz7IJpe6wUuAm0qOoyiRBksO&#10;CwXWtCwo+zn+GgUf9LdK3oe7DT77eP/dPQ3jrtwqNei3i1cQnlp/D9/aa61gnLzA/5lwBOTs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sDOiHGAAAA3AAAAA8AAAAAAAAA&#10;AAAAAAAAoQIAAGRycy9kb3ducmV2LnhtbFBLBQYAAAAABAAEAPkAAACUAwAAAAA=&#10;" strokeweight="2.25pt">
                  <v:stroke endarrow="block"/>
                </v:line>
                <v:line id="Line 11" o:spid="_x0000_s1048" style="position:absolute;visibility:visible;mso-wrap-style:square" from="30658,14154" to="38659,14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yuU8MAAADcAAAADwAAAGRycy9kb3ducmV2LnhtbERPTWvCQBC9F/oflil4Ed3EliDRVUQR&#10;tFBtVTwP2WkSmp0N2VUTf717KHh8vO/pvDWVuFLjSssK4mEEgjizuuRcwem4HoxBOI+ssbJMCjpy&#10;MJ+9vkwx1fbGP3Q9+FyEEHYpKii8r1MpXVaQQTe0NXHgfm1j0AfY5FI3eAvhppKjKEqkwZJDQ4E1&#10;LQvK/g4Xo+CT7qtk299/4YePv8/dez/uyp1Svbd2MQHhqfVP8b97oxWMkrA2nAlHQM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crlPDAAAA3AAAAA8AAAAAAAAAAAAA&#10;AAAAoQIAAGRycy9kb3ducmV2LnhtbFBLBQYAAAAABAAEAPkAAACRAwAAAAA=&#10;" strokeweight="2.25pt">
                  <v:stroke endarrow="block"/>
                </v:line>
                <v:line id="Line 12" o:spid="_x0000_s1049" style="position:absolute;visibility:visible;mso-wrap-style:square" from="5257,6007" to="10972,6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ALyMYAAADcAAAADwAAAGRycy9kb3ducmV2LnhtbESP3WrCQBSE74W+w3IEb6RuYkuoqauI&#10;UrAFf1t6fcgek9Ds2ZDdatKndwuCl8PMfMNM562pxJkaV1pWEI8iEMSZ1SXnCr4+3x5fQDiPrLGy&#10;TAo6cjCfPfSmmGp74QOdjz4XAcIuRQWF93UqpcsKMuhGtiYO3sk2Bn2QTS51g5cAN5UcR1EiDZYc&#10;FgqsaVlQ9nP8NQo+6G+VvA93G3z28f67exrGXblVatBvF68gPLX+Hr6111rBOJnA/5lwBOTs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XQC8jGAAAA3AAAAA8AAAAAAAAA&#10;AAAAAAAAoQIAAGRycy9kb3ducmV2LnhtbFBLBQYAAAAABAAEAPkAAACUAwAAAAA=&#10;" strokeweight="2.25pt">
                  <v:stroke endarrow="block"/>
                </v:line>
                <v:shape id="Text Box 16" o:spid="_x0000_s1050" type="#_x0000_t202" style="position:absolute;left:47675;top:17235;width:12573;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4i8IA&#10;AADcAAAADwAAAGRycy9kb3ducmV2LnhtbESP3YrCMBSE7xd8h3AEbxZNFddqNYoKirf+PMCxObbF&#10;5qQ00da3N4Kwl8PMfMMsVq0pxZNqV1hWMBxEIIhTqwvOFFzOu/4UhPPIGkvLpOBFDlbLzs8CE20b&#10;PtLz5DMRIOwSVJB7XyVSujQng25gK+Lg3Wxt0AdZZ1LX2AS4KeUoiibSYMFhIceKtjml99PDKLgd&#10;mt+/WXPd+0t8HE82WMRX+1Kq123XcxCeWv8f/rYPWsEoHsLnTDgCcvk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8/iLwgAAANwAAAAPAAAAAAAAAAAAAAAAAJgCAABkcnMvZG93&#10;bnJldi54bWxQSwUGAAAAAAQABAD1AAAAhwMAAAAA&#10;" stroked="f">
                  <v:textbox>
                    <w:txbxContent>
                      <w:p w:rsidR="00543B21" w:rsidRPr="00460401" w:rsidRDefault="00543B21" w:rsidP="00543B21">
                        <w:pPr>
                          <w:rPr>
                            <w:lang w:val="sv-SE"/>
                          </w:rPr>
                        </w:pPr>
                        <w:r>
                          <w:rPr>
                            <w:lang w:val="sv-SE"/>
                          </w:rPr>
                          <w:t>Group common PDCCH</w:t>
                        </w:r>
                      </w:p>
                    </w:txbxContent>
                  </v:textbox>
                </v:shape>
                <v:shape id="Text Box 17" o:spid="_x0000_s1051" type="#_x0000_t202" style="position:absolute;left:1975;width:9737;height:4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Fm/MQA&#10;AADcAAAADwAAAGRycy9kb3ducmV2LnhtbESP3WrCQBSE7wu+w3IEb0rdGFrTRtdghUputT7AMXtM&#10;gtmzIbvNz9t3C0Ivh5n5htlmo2lET52rLStYLSMQxIXVNZcKLt9fL+8gnEfW2FgmBRM5yHazpy2m&#10;2g58ov7sSxEg7FJUUHnfplK6oiKDbmlb4uDdbGfQB9mVUnc4BLhpZBxFa2mw5rBQYUuHior7+cco&#10;uOXD89vHcD36S3J6XX9inVztpNRiPu43IDyN/j/8aOdaQZzE8HcmHAG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hZvzEAAAA3AAAAA8AAAAAAAAAAAAAAAAAmAIAAGRycy9k&#10;b3ducmV2LnhtbFBLBQYAAAAABAAEAPUAAACJAwAAAAA=&#10;" stroked="f">
                  <v:textbox>
                    <w:txbxContent>
                      <w:p w:rsidR="00543B21" w:rsidRDefault="00543B21" w:rsidP="00543B21">
                        <w:pPr>
                          <w:rPr>
                            <w:lang w:val="sv-SE"/>
                          </w:rPr>
                        </w:pPr>
                        <w:r>
                          <w:rPr>
                            <w:lang w:val="sv-SE"/>
                          </w:rPr>
                          <w:t>Information</w:t>
                        </w:r>
                      </w:p>
                      <w:p w:rsidR="00543B21" w:rsidRPr="00460401" w:rsidRDefault="00543B21" w:rsidP="00543B21">
                        <w:pPr>
                          <w:rPr>
                            <w:lang w:val="sv-SE"/>
                          </w:rPr>
                        </w:pPr>
                        <w:r>
                          <w:rPr>
                            <w:lang w:val="sv-SE"/>
                          </w:rPr>
                          <w:t>Block</w:t>
                        </w:r>
                      </w:p>
                    </w:txbxContent>
                  </v:textbox>
                </v:shape>
                <v:rect id="Rectangle 273" o:spid="_x0000_s1052" style="position:absolute;left:38770;top:11045;width:13387;height:59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kkkMcA&#10;AADcAAAADwAAAGRycy9kb3ducmV2LnhtbESPT2vCQBTE74V+h+UVehHdNNY/RDdSCkp7so3R8yP7&#10;TEKyb0N21fTbdwsFj8PM/IZZbwbTiiv1rras4GUSgSAurK65VJAftuMlCOeRNbaWScEPOdikjw9r&#10;TLS98TddM1+KAGGXoILK+y6R0hUVGXQT2xEH72x7gz7IvpS6x1uAm1bGUTSXBmsOCxV29F5R0WQX&#10;o+B11/jR7Cs/f86OcVbv89M0H+2Uen4a3lYgPA3+Hv5vf2gF8WIKf2fCEZD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7JJJDHAAAA3AAAAA8AAAAAAAAAAAAAAAAAmAIAAGRy&#10;cy9kb3ducmV2LnhtbFBLBQYAAAAABAAEAPUAAACMAwAAAAA=&#10;" fillcolor="#92d050" strokecolor="black [3200]" strokeweight="1pt">
                  <v:textbox>
                    <w:txbxContent>
                      <w:p w:rsidR="00543B21" w:rsidRPr="00AC3408" w:rsidRDefault="004D1D4B" w:rsidP="00543B21">
                        <w:pPr>
                          <w:jc w:val="center"/>
                        </w:pPr>
                        <w:r>
                          <w:t xml:space="preserve">(20, 16) Polar </w:t>
                        </w:r>
                        <w:r w:rsidR="00543B21">
                          <w:t>Code</w:t>
                        </w:r>
                      </w:p>
                    </w:txbxContent>
                  </v:textbox>
                </v:rect>
                <v:shape id="Text Box 17" o:spid="_x0000_s1053" type="#_x0000_t202" style="position:absolute;left:9773;top:19795;width:9735;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j+iMMA&#10;AADcAAAADwAAAGRycy9kb3ducmV2LnhtbESP3YrCMBSE74V9h3AW9kbWdEXtWhvFFRRv/XmAY3P6&#10;wzYnpYm2vr0RBC+HmfmGSVe9qcWNWldZVvAzikAQZ1ZXXCg4n7bfvyCcR9ZYWyYFd3KwWn4MUky0&#10;7fhAt6MvRICwS1BB6X2TSOmykgy6kW2Ig5fb1qAPsi2kbrELcFPLcRTNpMGKw0KJDW1Kyv6PV6Mg&#10;33fD6by77Pw5Pkxmf1jFF3tX6uuzXy9AeOr9O/xq77WCcTyF55lwBO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Mj+iMMAAADcAAAADwAAAAAAAAAAAAAAAACYAgAAZHJzL2Rv&#10;d25yZXYueG1sUEsFBgAAAAAEAAQA9QAAAIgDAAAAAA==&#10;" stroked="f">
                  <v:textbox>
                    <w:txbxContent>
                      <w:p w:rsidR="00543B21" w:rsidRDefault="00543B21" w:rsidP="00543B21">
                        <w:pPr>
                          <w:pStyle w:val="NormalWeb"/>
                          <w:overflowPunct w:val="0"/>
                          <w:spacing w:before="0" w:beforeAutospacing="0" w:after="120" w:afterAutospacing="0"/>
                          <w:jc w:val="both"/>
                          <w:rPr>
                            <w:rFonts w:ascii="Calibri" w:eastAsia="Times New Roman" w:hAnsi="Calibri"/>
                            <w:sz w:val="20"/>
                            <w:szCs w:val="20"/>
                          </w:rPr>
                        </w:pPr>
                        <w:r>
                          <w:rPr>
                            <w:rFonts w:ascii="Calibri" w:eastAsia="Times New Roman" w:hAnsi="Calibri"/>
                            <w:sz w:val="20"/>
                            <w:szCs w:val="20"/>
                          </w:rPr>
                          <w:t xml:space="preserve">Common </w:t>
                        </w:r>
                      </w:p>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RNTI</w:t>
                        </w:r>
                      </w:p>
                    </w:txbxContent>
                  </v:textbox>
                </v:shape>
                <v:rect id="Rectangle 119" o:spid="_x0000_s1054" style="position:absolute;left:11090;top:2677;width:6851;height:79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9b2cIA&#10;AADcAAAADwAAAGRycy9kb3ducmV2LnhtbERPS4vCMBC+L/gfwgje1lQPrluNIrJKYS8+FrwOzdgW&#10;m0k3iW33328Ewdt8fM9ZrntTi5acrywrmIwTEMS51RUXCn7Ou/c5CB+QNdaWScEfeVivBm9LTLXt&#10;+EjtKRQihrBPUUEZQpNK6fOSDPqxbYgjd7XOYIjQFVI77GK4qeU0SWbSYMWxocSGtiXlt9PdKDh+&#10;H7LLZXo9fPx6+eX2WdvNzlKp0bDfLEAE6sNL/HRnOs6ffMLjmXiBX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P1vZwgAAANwAAAAPAAAAAAAAAAAAAAAAAJgCAABkcnMvZG93&#10;bnJldi54bWxQSwUGAAAAAAQABAD1AAAAhwMAAAAA&#10;" fillcolor="#0070c0" strokeweight="3pt">
                  <v:textbox>
                    <w:txbxContent>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 </w:t>
                        </w:r>
                      </w:p>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 xml:space="preserve"> Append bits </w:t>
                        </w:r>
                      </w:p>
                    </w:txbxContent>
                  </v:textbox>
                </v:rect>
                <v:line id="Line 11" o:spid="_x0000_s1055" style="position:absolute;visibility:visible;mso-wrap-style:square" from="52062,14008" to="60057,14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V66ccAAADcAAAADwAAAGRycy9kb3ducmV2LnhtbESPQWvCQBCF70L/wzKCF6mbWJGSukpp&#10;KbQFtbWl5yE7JqHZ2ZBdNfHXOwfB2wzvzXvfLFadq9WR2lB5NpBOElDEubcVFwZ+f97uH0GFiGyx&#10;9kwGegqwWt4NFphZf+JvOu5ioSSEQ4YGyhibTOuQl+QwTHxDLNretw6jrG2hbYsnCXe1nibJXDus&#10;WBpKbOilpPx/d3AGPun8Ov8Yb9c4i+nXX/8wTvtqY8xo2D0/gYrUxZv5ev1uBX8q+PKMTK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JpXrpxwAAANwAAAAPAAAAAAAA&#10;AAAAAAAAAKECAABkcnMvZG93bnJldi54bWxQSwUGAAAAAAQABAD5AAAAlQMAAAAA&#10;" strokeweight="2.25pt">
                  <v:stroke endarrow="block"/>
                </v:line>
                <w10:anchorlock/>
              </v:group>
            </w:pict>
          </mc:Fallback>
        </mc:AlternateContent>
      </w:r>
    </w:p>
    <w:p w:rsidR="00543B21" w:rsidRDefault="00CA45CC" w:rsidP="00543B21">
      <w:pPr>
        <w:pStyle w:val="Caption"/>
      </w:pPr>
      <w:r>
        <w:t>Figure 2</w:t>
      </w:r>
      <w:r w:rsidR="00543B21">
        <w:t xml:space="preserve"> </w:t>
      </w:r>
      <w:r>
        <w:t xml:space="preserve">Post attachment of common RNTI  </w:t>
      </w:r>
    </w:p>
    <w:p w:rsidR="001324BC" w:rsidRDefault="001324BC" w:rsidP="001324BC">
      <w:pPr>
        <w:keepNext/>
        <w:jc w:val="both"/>
        <w:rPr>
          <w:sz w:val="24"/>
        </w:rPr>
      </w:pPr>
    </w:p>
    <w:p w:rsidR="001324BC" w:rsidRPr="00B8246E" w:rsidRDefault="001324BC" w:rsidP="001324BC">
      <w:pPr>
        <w:keepNext/>
        <w:jc w:val="both"/>
        <w:rPr>
          <w:sz w:val="24"/>
        </w:rPr>
      </w:pPr>
      <w:r>
        <w:rPr>
          <w:sz w:val="24"/>
        </w:rPr>
        <w:t xml:space="preserve">Since two encoders are used for post attachment, this method is more robust for errors and we prefer post attachment of RNTI for common PDCCH. </w:t>
      </w:r>
    </w:p>
    <w:p w:rsidR="00903573" w:rsidRPr="002E6E64" w:rsidRDefault="006343EA" w:rsidP="00903573">
      <w:pPr>
        <w:pStyle w:val="Text"/>
        <w:jc w:val="both"/>
        <w:rPr>
          <w:rFonts w:ascii="Times New Roman" w:hAnsi="Times New Roman"/>
          <w:color w:val="000000" w:themeColor="text1"/>
          <w:sz w:val="24"/>
          <w:szCs w:val="24"/>
        </w:rPr>
      </w:pPr>
      <w:r>
        <w:rPr>
          <w:rFonts w:ascii="Times New Roman" w:hAnsi="Times New Roman"/>
          <w:b/>
          <w:noProof/>
          <w:sz w:val="24"/>
          <w:szCs w:val="24"/>
        </w:rPr>
        <w:t>Proposal 2</w:t>
      </w:r>
      <w:r w:rsidR="00903573" w:rsidRPr="00767F04">
        <w:rPr>
          <w:rFonts w:ascii="Times New Roman" w:hAnsi="Times New Roman"/>
          <w:b/>
          <w:sz w:val="24"/>
          <w:szCs w:val="24"/>
        </w:rPr>
        <w:t>:</w:t>
      </w:r>
      <w:r w:rsidR="00903573">
        <w:rPr>
          <w:rFonts w:ascii="Times New Roman" w:hAnsi="Times New Roman"/>
          <w:b/>
          <w:sz w:val="24"/>
          <w:szCs w:val="24"/>
        </w:rPr>
        <w:t xml:space="preserve">  Post attachment of common RNTI is preferred over pre-attachment.</w:t>
      </w:r>
    </w:p>
    <w:p w:rsidR="001D7377" w:rsidRDefault="001D7377" w:rsidP="001D7377">
      <w:pPr>
        <w:pStyle w:val="Heading1"/>
      </w:pPr>
      <w:r>
        <w:t>Conclusions</w:t>
      </w:r>
    </w:p>
    <w:bookmarkEnd w:id="3"/>
    <w:bookmarkEnd w:id="4"/>
    <w:bookmarkEnd w:id="5"/>
    <w:bookmarkEnd w:id="6"/>
    <w:bookmarkEnd w:id="7"/>
    <w:bookmarkEnd w:id="8"/>
    <w:p w:rsidR="00863643" w:rsidRDefault="00863643" w:rsidP="00863643">
      <w:pPr>
        <w:jc w:val="both"/>
        <w:rPr>
          <w:sz w:val="24"/>
          <w:szCs w:val="24"/>
          <w:lang w:val="en-GB"/>
        </w:rPr>
      </w:pPr>
      <w:r w:rsidRPr="00183B2D">
        <w:rPr>
          <w:sz w:val="24"/>
          <w:szCs w:val="24"/>
          <w:lang w:val="en-GB"/>
        </w:rPr>
        <w:t xml:space="preserve">In this contribution </w:t>
      </w:r>
      <w:r>
        <w:rPr>
          <w:sz w:val="24"/>
          <w:szCs w:val="24"/>
          <w:lang w:val="en-GB"/>
        </w:rPr>
        <w:t xml:space="preserve">we </w:t>
      </w:r>
      <w:r w:rsidR="00DE4B5B">
        <w:rPr>
          <w:sz w:val="24"/>
          <w:szCs w:val="24"/>
          <w:lang w:val="en-GB"/>
        </w:rPr>
        <w:t>presented our views on the contents of group common PDCCH.</w:t>
      </w:r>
      <w:r>
        <w:rPr>
          <w:sz w:val="24"/>
          <w:szCs w:val="24"/>
          <w:lang w:val="en-GB"/>
        </w:rPr>
        <w:t xml:space="preserve">   </w:t>
      </w:r>
    </w:p>
    <w:p w:rsidR="00863643" w:rsidRPr="005C1BF7" w:rsidRDefault="00DE4B5B" w:rsidP="00863643">
      <w:pPr>
        <w:tabs>
          <w:tab w:val="left" w:pos="3548"/>
        </w:tabs>
        <w:rPr>
          <w:sz w:val="24"/>
          <w:szCs w:val="24"/>
          <w:lang w:val="en-GB"/>
        </w:rPr>
      </w:pPr>
      <w:r w:rsidRPr="005C1BF7">
        <w:rPr>
          <w:sz w:val="24"/>
          <w:szCs w:val="24"/>
          <w:lang w:val="en-GB"/>
        </w:rPr>
        <w:t>We</w:t>
      </w:r>
      <w:r w:rsidR="00863643" w:rsidRPr="005C1BF7">
        <w:rPr>
          <w:sz w:val="24"/>
          <w:szCs w:val="24"/>
          <w:lang w:val="en-GB"/>
        </w:rPr>
        <w:t xml:space="preserve"> have the following proposal:</w:t>
      </w:r>
    </w:p>
    <w:p w:rsidR="00070271" w:rsidRDefault="00070271" w:rsidP="00070271">
      <w:pPr>
        <w:pStyle w:val="Text"/>
        <w:jc w:val="both"/>
        <w:rPr>
          <w:rFonts w:ascii="Times New Roman" w:hAnsi="Times New Roman"/>
          <w:b/>
          <w:noProof/>
          <w:sz w:val="24"/>
          <w:szCs w:val="24"/>
        </w:rPr>
      </w:pPr>
    </w:p>
    <w:p w:rsidR="00070271" w:rsidRDefault="006343EA" w:rsidP="00070271">
      <w:pPr>
        <w:pStyle w:val="Text"/>
        <w:jc w:val="both"/>
        <w:rPr>
          <w:rFonts w:ascii="Times New Roman" w:hAnsi="Times New Roman"/>
          <w:b/>
          <w:sz w:val="24"/>
          <w:szCs w:val="24"/>
        </w:rPr>
      </w:pPr>
      <w:r>
        <w:rPr>
          <w:rFonts w:ascii="Times New Roman" w:hAnsi="Times New Roman"/>
          <w:b/>
          <w:noProof/>
          <w:sz w:val="24"/>
          <w:szCs w:val="24"/>
        </w:rPr>
        <w:t>Proposal 1</w:t>
      </w:r>
      <w:r w:rsidR="00070271" w:rsidRPr="00767F04">
        <w:rPr>
          <w:rFonts w:ascii="Times New Roman" w:hAnsi="Times New Roman"/>
          <w:b/>
          <w:sz w:val="24"/>
          <w:szCs w:val="24"/>
        </w:rPr>
        <w:t>:</w:t>
      </w:r>
      <w:r w:rsidR="00070271">
        <w:rPr>
          <w:rFonts w:ascii="Times New Roman" w:hAnsi="Times New Roman"/>
          <w:b/>
          <w:sz w:val="24"/>
          <w:szCs w:val="24"/>
        </w:rPr>
        <w:t xml:space="preserve">  No CRC attachment for Group common PDCCH is preferred.</w:t>
      </w:r>
    </w:p>
    <w:p w:rsidR="00070271" w:rsidRDefault="00070271" w:rsidP="00903573">
      <w:pPr>
        <w:pStyle w:val="Text"/>
        <w:jc w:val="both"/>
        <w:rPr>
          <w:rFonts w:ascii="Times New Roman" w:hAnsi="Times New Roman"/>
          <w:b/>
          <w:noProof/>
          <w:sz w:val="24"/>
          <w:szCs w:val="24"/>
        </w:rPr>
      </w:pPr>
    </w:p>
    <w:p w:rsidR="00903573" w:rsidRPr="002E6E64" w:rsidRDefault="006343EA" w:rsidP="00903573">
      <w:pPr>
        <w:pStyle w:val="Text"/>
        <w:jc w:val="both"/>
        <w:rPr>
          <w:rFonts w:ascii="Times New Roman" w:hAnsi="Times New Roman"/>
          <w:color w:val="000000" w:themeColor="text1"/>
          <w:sz w:val="24"/>
          <w:szCs w:val="24"/>
        </w:rPr>
      </w:pPr>
      <w:r>
        <w:rPr>
          <w:rFonts w:ascii="Times New Roman" w:hAnsi="Times New Roman"/>
          <w:b/>
          <w:noProof/>
          <w:sz w:val="24"/>
          <w:szCs w:val="24"/>
        </w:rPr>
        <w:lastRenderedPageBreak/>
        <w:t>Proposal 2</w:t>
      </w:r>
      <w:r w:rsidR="00903573" w:rsidRPr="00767F04">
        <w:rPr>
          <w:rFonts w:ascii="Times New Roman" w:hAnsi="Times New Roman"/>
          <w:b/>
          <w:sz w:val="24"/>
          <w:szCs w:val="24"/>
        </w:rPr>
        <w:t>:</w:t>
      </w:r>
      <w:r w:rsidR="00903573">
        <w:rPr>
          <w:rFonts w:ascii="Times New Roman" w:hAnsi="Times New Roman"/>
          <w:b/>
          <w:sz w:val="24"/>
          <w:szCs w:val="24"/>
        </w:rPr>
        <w:t xml:space="preserve">  Post attachment of common RNTI i</w:t>
      </w:r>
      <w:r w:rsidR="00CF3853">
        <w:rPr>
          <w:rFonts w:ascii="Times New Roman" w:hAnsi="Times New Roman"/>
          <w:b/>
          <w:sz w:val="24"/>
          <w:szCs w:val="24"/>
        </w:rPr>
        <w:t>s preferred over pre-attachment</w:t>
      </w:r>
    </w:p>
    <w:p w:rsidR="00903573" w:rsidRDefault="00903573" w:rsidP="00DE4B5B">
      <w:pPr>
        <w:keepNext/>
      </w:pPr>
    </w:p>
    <w:p w:rsidR="00B47DC1" w:rsidRDefault="00B47DC1" w:rsidP="00B47DC1">
      <w:pPr>
        <w:pStyle w:val="ListParagraph"/>
        <w:ind w:left="567"/>
        <w:rPr>
          <w:rFonts w:ascii="Times New Roman" w:eastAsia="SimSun" w:hAnsi="Times New Roman"/>
          <w:sz w:val="24"/>
          <w:szCs w:val="24"/>
        </w:rPr>
      </w:pPr>
      <w:bookmarkStart w:id="9" w:name="_Ref450342757"/>
      <w:bookmarkEnd w:id="2"/>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2809" w:rsidRDefault="00C52809" w:rsidP="00A03DF3">
      <w:pPr>
        <w:spacing w:after="0"/>
      </w:pPr>
      <w:r>
        <w:separator/>
      </w:r>
    </w:p>
  </w:endnote>
  <w:endnote w:type="continuationSeparator" w:id="0">
    <w:p w:rsidR="00C52809" w:rsidRDefault="00C52809"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95000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5000F">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2809" w:rsidRDefault="00C52809" w:rsidP="00A03DF3">
      <w:pPr>
        <w:spacing w:after="0"/>
      </w:pPr>
      <w:r>
        <w:separator/>
      </w:r>
    </w:p>
  </w:footnote>
  <w:footnote w:type="continuationSeparator" w:id="0">
    <w:p w:rsidR="00C52809" w:rsidRDefault="00C52809"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0D567B"/>
    <w:multiLevelType w:val="hybridMultilevel"/>
    <w:tmpl w:val="E3861B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F713B5"/>
    <w:multiLevelType w:val="hybridMultilevel"/>
    <w:tmpl w:val="C950B038"/>
    <w:lvl w:ilvl="0" w:tplc="E4285368">
      <w:start w:val="1"/>
      <w:numFmt w:val="upperLetter"/>
      <w:lvlText w:val="%1."/>
      <w:lvlJc w:val="left"/>
      <w:pPr>
        <w:ind w:left="720" w:hanging="360"/>
      </w:pPr>
      <w:rPr>
        <w:rFonts w:ascii="Times New Roman" w:eastAsia="SimSun" w:hAnsi="Times New Roman" w:cs="Times New Roman"/>
      </w:rPr>
    </w:lvl>
    <w:lvl w:ilvl="1" w:tplc="6722E104">
      <w:start w:val="1"/>
      <w:numFmt w:val="upperLetter"/>
      <w:lvlText w:val="%2."/>
      <w:lvlJc w:val="left"/>
      <w:pPr>
        <w:ind w:left="1440" w:hanging="360"/>
      </w:pPr>
      <w:rPr>
        <w:rFonts w:ascii="Times New Roman" w:eastAsia="SimSun" w:hAnsi="Times New Roman" w:cs="Times New Roman"/>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76822E96"/>
    <w:multiLevelType w:val="multilevel"/>
    <w:tmpl w:val="BECADB0C"/>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7"/>
  </w:num>
  <w:num w:numId="4">
    <w:abstractNumId w:val="2"/>
  </w:num>
  <w:num w:numId="5">
    <w:abstractNumId w:val="6"/>
  </w:num>
  <w:num w:numId="6">
    <w:abstractNumId w:val="3"/>
  </w:num>
  <w:num w:numId="7">
    <w:abstractNumId w:val="8"/>
  </w:num>
  <w:num w:numId="8">
    <w:abstractNumId w:val="10"/>
  </w:num>
  <w:num w:numId="9">
    <w:abstractNumId w:val="4"/>
  </w:num>
  <w:num w:numId="10">
    <w:abstractNumId w:val="9"/>
  </w:num>
  <w:num w:numId="11">
    <w:abstractNumId w:val="12"/>
  </w:num>
  <w:num w:numId="12">
    <w:abstractNumId w:val="1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919"/>
    <w:rsid w:val="00011AD9"/>
    <w:rsid w:val="000152F8"/>
    <w:rsid w:val="00017D31"/>
    <w:rsid w:val="000232BC"/>
    <w:rsid w:val="00024728"/>
    <w:rsid w:val="000250E0"/>
    <w:rsid w:val="00033AB4"/>
    <w:rsid w:val="000343A6"/>
    <w:rsid w:val="00040D73"/>
    <w:rsid w:val="00043767"/>
    <w:rsid w:val="00047A27"/>
    <w:rsid w:val="00063362"/>
    <w:rsid w:val="00070271"/>
    <w:rsid w:val="00077861"/>
    <w:rsid w:val="0008103A"/>
    <w:rsid w:val="00082F4F"/>
    <w:rsid w:val="000848FB"/>
    <w:rsid w:val="000A3623"/>
    <w:rsid w:val="000D44F2"/>
    <w:rsid w:val="000E3E8D"/>
    <w:rsid w:val="000E7BE4"/>
    <w:rsid w:val="000E7F6F"/>
    <w:rsid w:val="000F152B"/>
    <w:rsid w:val="000F70D6"/>
    <w:rsid w:val="0010116E"/>
    <w:rsid w:val="00102E95"/>
    <w:rsid w:val="00106E19"/>
    <w:rsid w:val="00107EBD"/>
    <w:rsid w:val="001153C1"/>
    <w:rsid w:val="0011607E"/>
    <w:rsid w:val="001259C2"/>
    <w:rsid w:val="00131CEE"/>
    <w:rsid w:val="001324BC"/>
    <w:rsid w:val="00150F00"/>
    <w:rsid w:val="00151B4B"/>
    <w:rsid w:val="001625C3"/>
    <w:rsid w:val="001711C0"/>
    <w:rsid w:val="001738F0"/>
    <w:rsid w:val="00183B2D"/>
    <w:rsid w:val="00184167"/>
    <w:rsid w:val="00185817"/>
    <w:rsid w:val="001A19A7"/>
    <w:rsid w:val="001B362A"/>
    <w:rsid w:val="001B62B5"/>
    <w:rsid w:val="001C0C74"/>
    <w:rsid w:val="001D4E16"/>
    <w:rsid w:val="001D7377"/>
    <w:rsid w:val="001E0FE1"/>
    <w:rsid w:val="001E1248"/>
    <w:rsid w:val="001E7474"/>
    <w:rsid w:val="00201686"/>
    <w:rsid w:val="00202539"/>
    <w:rsid w:val="002049EA"/>
    <w:rsid w:val="00206D78"/>
    <w:rsid w:val="00206DA2"/>
    <w:rsid w:val="00207CDD"/>
    <w:rsid w:val="00210503"/>
    <w:rsid w:val="0021393D"/>
    <w:rsid w:val="00225364"/>
    <w:rsid w:val="002344C5"/>
    <w:rsid w:val="00236E92"/>
    <w:rsid w:val="00241044"/>
    <w:rsid w:val="00242A69"/>
    <w:rsid w:val="00242F9F"/>
    <w:rsid w:val="00244E87"/>
    <w:rsid w:val="002452A4"/>
    <w:rsid w:val="00250D87"/>
    <w:rsid w:val="00270E7D"/>
    <w:rsid w:val="00273449"/>
    <w:rsid w:val="00273B90"/>
    <w:rsid w:val="00275CA0"/>
    <w:rsid w:val="00291C98"/>
    <w:rsid w:val="0029404C"/>
    <w:rsid w:val="00297B7D"/>
    <w:rsid w:val="002B13C5"/>
    <w:rsid w:val="002B26F8"/>
    <w:rsid w:val="002B6B50"/>
    <w:rsid w:val="002C1EFA"/>
    <w:rsid w:val="002C3450"/>
    <w:rsid w:val="002C3A90"/>
    <w:rsid w:val="002E3D2F"/>
    <w:rsid w:val="002E5508"/>
    <w:rsid w:val="002E6A45"/>
    <w:rsid w:val="002F70E1"/>
    <w:rsid w:val="002F727E"/>
    <w:rsid w:val="00304012"/>
    <w:rsid w:val="003149D8"/>
    <w:rsid w:val="00334E9F"/>
    <w:rsid w:val="00363695"/>
    <w:rsid w:val="003702F2"/>
    <w:rsid w:val="003709E5"/>
    <w:rsid w:val="0037686B"/>
    <w:rsid w:val="0037788F"/>
    <w:rsid w:val="003778D9"/>
    <w:rsid w:val="00382E4B"/>
    <w:rsid w:val="00384F13"/>
    <w:rsid w:val="00386534"/>
    <w:rsid w:val="00386B9D"/>
    <w:rsid w:val="003967CC"/>
    <w:rsid w:val="003A6F05"/>
    <w:rsid w:val="003B08A8"/>
    <w:rsid w:val="003B11C5"/>
    <w:rsid w:val="003C04C9"/>
    <w:rsid w:val="003C1FBC"/>
    <w:rsid w:val="003C7092"/>
    <w:rsid w:val="003C71AC"/>
    <w:rsid w:val="003D2FF5"/>
    <w:rsid w:val="003D51ED"/>
    <w:rsid w:val="003F3BD7"/>
    <w:rsid w:val="003F54E8"/>
    <w:rsid w:val="00400A08"/>
    <w:rsid w:val="00413433"/>
    <w:rsid w:val="0041405C"/>
    <w:rsid w:val="0041500F"/>
    <w:rsid w:val="00416778"/>
    <w:rsid w:val="00416848"/>
    <w:rsid w:val="0041687B"/>
    <w:rsid w:val="00417010"/>
    <w:rsid w:val="00421884"/>
    <w:rsid w:val="00425A92"/>
    <w:rsid w:val="004264D7"/>
    <w:rsid w:val="0043194D"/>
    <w:rsid w:val="00431A45"/>
    <w:rsid w:val="00434696"/>
    <w:rsid w:val="00434EBF"/>
    <w:rsid w:val="00436CAA"/>
    <w:rsid w:val="0044468E"/>
    <w:rsid w:val="00464F06"/>
    <w:rsid w:val="00470BCC"/>
    <w:rsid w:val="00473C83"/>
    <w:rsid w:val="00474038"/>
    <w:rsid w:val="00481979"/>
    <w:rsid w:val="00484322"/>
    <w:rsid w:val="004868C8"/>
    <w:rsid w:val="00491D5A"/>
    <w:rsid w:val="0049348F"/>
    <w:rsid w:val="004941F5"/>
    <w:rsid w:val="004951FA"/>
    <w:rsid w:val="00496256"/>
    <w:rsid w:val="004A4B20"/>
    <w:rsid w:val="004A5460"/>
    <w:rsid w:val="004A6AF1"/>
    <w:rsid w:val="004B3548"/>
    <w:rsid w:val="004B6CC8"/>
    <w:rsid w:val="004C0BB3"/>
    <w:rsid w:val="004C521D"/>
    <w:rsid w:val="004D1D4B"/>
    <w:rsid w:val="004D338B"/>
    <w:rsid w:val="004E24E6"/>
    <w:rsid w:val="004E3753"/>
    <w:rsid w:val="004E4A4E"/>
    <w:rsid w:val="0051043F"/>
    <w:rsid w:val="00510EB5"/>
    <w:rsid w:val="00526E57"/>
    <w:rsid w:val="00534474"/>
    <w:rsid w:val="005352FA"/>
    <w:rsid w:val="00537F8E"/>
    <w:rsid w:val="00543B21"/>
    <w:rsid w:val="005457DF"/>
    <w:rsid w:val="00547C78"/>
    <w:rsid w:val="0055021B"/>
    <w:rsid w:val="00566BF8"/>
    <w:rsid w:val="005720AE"/>
    <w:rsid w:val="005732D3"/>
    <w:rsid w:val="0058545D"/>
    <w:rsid w:val="00594E1F"/>
    <w:rsid w:val="005C0F42"/>
    <w:rsid w:val="005C1BF7"/>
    <w:rsid w:val="005D426A"/>
    <w:rsid w:val="005D5B1E"/>
    <w:rsid w:val="005E49C7"/>
    <w:rsid w:val="005F0C52"/>
    <w:rsid w:val="005F0C73"/>
    <w:rsid w:val="005F2BEE"/>
    <w:rsid w:val="005F49BE"/>
    <w:rsid w:val="005F69AE"/>
    <w:rsid w:val="00602FF2"/>
    <w:rsid w:val="0061290E"/>
    <w:rsid w:val="0062050D"/>
    <w:rsid w:val="00626CD3"/>
    <w:rsid w:val="00633D91"/>
    <w:rsid w:val="006343EA"/>
    <w:rsid w:val="00644086"/>
    <w:rsid w:val="0064614A"/>
    <w:rsid w:val="00647AF1"/>
    <w:rsid w:val="00653B6D"/>
    <w:rsid w:val="006577D9"/>
    <w:rsid w:val="006625D4"/>
    <w:rsid w:val="00664678"/>
    <w:rsid w:val="006667BE"/>
    <w:rsid w:val="00667EDB"/>
    <w:rsid w:val="00674ED6"/>
    <w:rsid w:val="00680F31"/>
    <w:rsid w:val="00690312"/>
    <w:rsid w:val="00691783"/>
    <w:rsid w:val="006A4ACB"/>
    <w:rsid w:val="006A53E5"/>
    <w:rsid w:val="006A5DD2"/>
    <w:rsid w:val="006B101C"/>
    <w:rsid w:val="006C6647"/>
    <w:rsid w:val="006D3D50"/>
    <w:rsid w:val="006F5982"/>
    <w:rsid w:val="006F72BF"/>
    <w:rsid w:val="00706C10"/>
    <w:rsid w:val="007072E3"/>
    <w:rsid w:val="007146FF"/>
    <w:rsid w:val="007229DC"/>
    <w:rsid w:val="00722FD8"/>
    <w:rsid w:val="0073390E"/>
    <w:rsid w:val="00735620"/>
    <w:rsid w:val="0074131E"/>
    <w:rsid w:val="00742ABC"/>
    <w:rsid w:val="00745620"/>
    <w:rsid w:val="00760679"/>
    <w:rsid w:val="0076369B"/>
    <w:rsid w:val="00767F04"/>
    <w:rsid w:val="007764D8"/>
    <w:rsid w:val="0078261D"/>
    <w:rsid w:val="00786FCF"/>
    <w:rsid w:val="007877F2"/>
    <w:rsid w:val="00790961"/>
    <w:rsid w:val="0079557E"/>
    <w:rsid w:val="0079585A"/>
    <w:rsid w:val="007A4702"/>
    <w:rsid w:val="007A6469"/>
    <w:rsid w:val="007B3085"/>
    <w:rsid w:val="007B3DE9"/>
    <w:rsid w:val="007B574D"/>
    <w:rsid w:val="007B6F7A"/>
    <w:rsid w:val="007C1666"/>
    <w:rsid w:val="007C274D"/>
    <w:rsid w:val="007D6B66"/>
    <w:rsid w:val="0081279A"/>
    <w:rsid w:val="00815865"/>
    <w:rsid w:val="00816FB9"/>
    <w:rsid w:val="00825D7A"/>
    <w:rsid w:val="00825EC8"/>
    <w:rsid w:val="00827552"/>
    <w:rsid w:val="008305FD"/>
    <w:rsid w:val="00841D9F"/>
    <w:rsid w:val="00843B1D"/>
    <w:rsid w:val="00844CF1"/>
    <w:rsid w:val="00855739"/>
    <w:rsid w:val="00860E8A"/>
    <w:rsid w:val="0086141D"/>
    <w:rsid w:val="00863643"/>
    <w:rsid w:val="008645B9"/>
    <w:rsid w:val="00876F81"/>
    <w:rsid w:val="008779BD"/>
    <w:rsid w:val="00881B50"/>
    <w:rsid w:val="00883F0F"/>
    <w:rsid w:val="0089274D"/>
    <w:rsid w:val="00892F50"/>
    <w:rsid w:val="008930A9"/>
    <w:rsid w:val="008A70D6"/>
    <w:rsid w:val="008A7C64"/>
    <w:rsid w:val="008B7E92"/>
    <w:rsid w:val="008C4C93"/>
    <w:rsid w:val="008C7323"/>
    <w:rsid w:val="008E1849"/>
    <w:rsid w:val="008E3584"/>
    <w:rsid w:val="008E5AEC"/>
    <w:rsid w:val="008E5C54"/>
    <w:rsid w:val="008F49D1"/>
    <w:rsid w:val="008F7450"/>
    <w:rsid w:val="00903573"/>
    <w:rsid w:val="009060A4"/>
    <w:rsid w:val="00907D90"/>
    <w:rsid w:val="0091056A"/>
    <w:rsid w:val="00912F39"/>
    <w:rsid w:val="0091403F"/>
    <w:rsid w:val="00917961"/>
    <w:rsid w:val="00923046"/>
    <w:rsid w:val="00926445"/>
    <w:rsid w:val="00935907"/>
    <w:rsid w:val="009444F6"/>
    <w:rsid w:val="009477DD"/>
    <w:rsid w:val="0095000F"/>
    <w:rsid w:val="00961690"/>
    <w:rsid w:val="00964DE7"/>
    <w:rsid w:val="009714DC"/>
    <w:rsid w:val="00973EEF"/>
    <w:rsid w:val="00990A8D"/>
    <w:rsid w:val="009A212B"/>
    <w:rsid w:val="009B12B4"/>
    <w:rsid w:val="009B34F4"/>
    <w:rsid w:val="009B679A"/>
    <w:rsid w:val="009B67DE"/>
    <w:rsid w:val="009C0E95"/>
    <w:rsid w:val="009D2C7A"/>
    <w:rsid w:val="009F4239"/>
    <w:rsid w:val="00A03DC7"/>
    <w:rsid w:val="00A03DF3"/>
    <w:rsid w:val="00A1005B"/>
    <w:rsid w:val="00A13339"/>
    <w:rsid w:val="00A26DCA"/>
    <w:rsid w:val="00A32F88"/>
    <w:rsid w:val="00A36F7A"/>
    <w:rsid w:val="00A42970"/>
    <w:rsid w:val="00A43533"/>
    <w:rsid w:val="00A45013"/>
    <w:rsid w:val="00A45CAD"/>
    <w:rsid w:val="00A462B3"/>
    <w:rsid w:val="00A50E1C"/>
    <w:rsid w:val="00A56D69"/>
    <w:rsid w:val="00A674CE"/>
    <w:rsid w:val="00A706A9"/>
    <w:rsid w:val="00A715E7"/>
    <w:rsid w:val="00A76BE5"/>
    <w:rsid w:val="00A83792"/>
    <w:rsid w:val="00A9069C"/>
    <w:rsid w:val="00A959CD"/>
    <w:rsid w:val="00A970DF"/>
    <w:rsid w:val="00AB1026"/>
    <w:rsid w:val="00AB3811"/>
    <w:rsid w:val="00AB7637"/>
    <w:rsid w:val="00AC078D"/>
    <w:rsid w:val="00AD402C"/>
    <w:rsid w:val="00AF1590"/>
    <w:rsid w:val="00AF55AC"/>
    <w:rsid w:val="00AF7903"/>
    <w:rsid w:val="00B00F7E"/>
    <w:rsid w:val="00B03635"/>
    <w:rsid w:val="00B05884"/>
    <w:rsid w:val="00B17D08"/>
    <w:rsid w:val="00B17D86"/>
    <w:rsid w:val="00B24E33"/>
    <w:rsid w:val="00B26FE6"/>
    <w:rsid w:val="00B37655"/>
    <w:rsid w:val="00B42FD4"/>
    <w:rsid w:val="00B4399E"/>
    <w:rsid w:val="00B47DC1"/>
    <w:rsid w:val="00B50BAC"/>
    <w:rsid w:val="00B54F62"/>
    <w:rsid w:val="00B7005D"/>
    <w:rsid w:val="00B70D99"/>
    <w:rsid w:val="00B74C3C"/>
    <w:rsid w:val="00B82AA0"/>
    <w:rsid w:val="00B82F38"/>
    <w:rsid w:val="00B865C9"/>
    <w:rsid w:val="00B86C48"/>
    <w:rsid w:val="00B91E13"/>
    <w:rsid w:val="00B9611D"/>
    <w:rsid w:val="00BB273F"/>
    <w:rsid w:val="00BB4CBA"/>
    <w:rsid w:val="00BC0B2C"/>
    <w:rsid w:val="00BC6517"/>
    <w:rsid w:val="00BE7F78"/>
    <w:rsid w:val="00BF5399"/>
    <w:rsid w:val="00C00A29"/>
    <w:rsid w:val="00C152E3"/>
    <w:rsid w:val="00C1607A"/>
    <w:rsid w:val="00C31268"/>
    <w:rsid w:val="00C31810"/>
    <w:rsid w:val="00C319BB"/>
    <w:rsid w:val="00C37073"/>
    <w:rsid w:val="00C41224"/>
    <w:rsid w:val="00C46670"/>
    <w:rsid w:val="00C50D06"/>
    <w:rsid w:val="00C52809"/>
    <w:rsid w:val="00C532A5"/>
    <w:rsid w:val="00C54E0C"/>
    <w:rsid w:val="00C565C4"/>
    <w:rsid w:val="00C9597D"/>
    <w:rsid w:val="00CA0134"/>
    <w:rsid w:val="00CA45CC"/>
    <w:rsid w:val="00CA5FB4"/>
    <w:rsid w:val="00CB3C38"/>
    <w:rsid w:val="00CB5E6A"/>
    <w:rsid w:val="00CB7ACA"/>
    <w:rsid w:val="00CC3CDF"/>
    <w:rsid w:val="00CC6914"/>
    <w:rsid w:val="00CD4BDE"/>
    <w:rsid w:val="00CD5AE1"/>
    <w:rsid w:val="00CE55FD"/>
    <w:rsid w:val="00CE5D3D"/>
    <w:rsid w:val="00CF2D90"/>
    <w:rsid w:val="00CF3853"/>
    <w:rsid w:val="00CF4912"/>
    <w:rsid w:val="00CF51E5"/>
    <w:rsid w:val="00D06073"/>
    <w:rsid w:val="00D07C12"/>
    <w:rsid w:val="00D1087A"/>
    <w:rsid w:val="00D16FB5"/>
    <w:rsid w:val="00D220EA"/>
    <w:rsid w:val="00D2655C"/>
    <w:rsid w:val="00D317C6"/>
    <w:rsid w:val="00D32088"/>
    <w:rsid w:val="00D3493D"/>
    <w:rsid w:val="00D42A35"/>
    <w:rsid w:val="00D50F28"/>
    <w:rsid w:val="00D53A33"/>
    <w:rsid w:val="00D81AE8"/>
    <w:rsid w:val="00D913DA"/>
    <w:rsid w:val="00DA14A6"/>
    <w:rsid w:val="00DA3F10"/>
    <w:rsid w:val="00DA67F5"/>
    <w:rsid w:val="00DA7B6D"/>
    <w:rsid w:val="00DB6035"/>
    <w:rsid w:val="00DC4CC3"/>
    <w:rsid w:val="00DD704C"/>
    <w:rsid w:val="00DE4B5B"/>
    <w:rsid w:val="00DE5572"/>
    <w:rsid w:val="00DF21E7"/>
    <w:rsid w:val="00E06B94"/>
    <w:rsid w:val="00E11376"/>
    <w:rsid w:val="00E11C1C"/>
    <w:rsid w:val="00E11F2C"/>
    <w:rsid w:val="00E14120"/>
    <w:rsid w:val="00E16CB7"/>
    <w:rsid w:val="00E20C3E"/>
    <w:rsid w:val="00E22BCB"/>
    <w:rsid w:val="00E3160A"/>
    <w:rsid w:val="00E3250E"/>
    <w:rsid w:val="00E513A1"/>
    <w:rsid w:val="00E513DF"/>
    <w:rsid w:val="00E52A97"/>
    <w:rsid w:val="00E530A5"/>
    <w:rsid w:val="00E56566"/>
    <w:rsid w:val="00E600DD"/>
    <w:rsid w:val="00E60BB5"/>
    <w:rsid w:val="00E61DE7"/>
    <w:rsid w:val="00E62423"/>
    <w:rsid w:val="00E62ADE"/>
    <w:rsid w:val="00E664B2"/>
    <w:rsid w:val="00E72CE0"/>
    <w:rsid w:val="00E7453F"/>
    <w:rsid w:val="00E80B50"/>
    <w:rsid w:val="00E82275"/>
    <w:rsid w:val="00E8259C"/>
    <w:rsid w:val="00E82924"/>
    <w:rsid w:val="00E84501"/>
    <w:rsid w:val="00E91703"/>
    <w:rsid w:val="00E96EC3"/>
    <w:rsid w:val="00EA64BD"/>
    <w:rsid w:val="00EB2825"/>
    <w:rsid w:val="00EB513C"/>
    <w:rsid w:val="00EB5891"/>
    <w:rsid w:val="00EB6F52"/>
    <w:rsid w:val="00EB71F2"/>
    <w:rsid w:val="00EC05AE"/>
    <w:rsid w:val="00EE0BDA"/>
    <w:rsid w:val="00EE57C5"/>
    <w:rsid w:val="00EF79DC"/>
    <w:rsid w:val="00EF7E19"/>
    <w:rsid w:val="00F04CDB"/>
    <w:rsid w:val="00F13661"/>
    <w:rsid w:val="00F143FB"/>
    <w:rsid w:val="00F14F36"/>
    <w:rsid w:val="00F22E4F"/>
    <w:rsid w:val="00F33557"/>
    <w:rsid w:val="00F35AC7"/>
    <w:rsid w:val="00F3760A"/>
    <w:rsid w:val="00F53929"/>
    <w:rsid w:val="00F639AE"/>
    <w:rsid w:val="00F670FA"/>
    <w:rsid w:val="00F67A74"/>
    <w:rsid w:val="00F74309"/>
    <w:rsid w:val="00F76EF1"/>
    <w:rsid w:val="00F77E99"/>
    <w:rsid w:val="00F809C6"/>
    <w:rsid w:val="00F8520B"/>
    <w:rsid w:val="00F87E38"/>
    <w:rsid w:val="00F93D60"/>
    <w:rsid w:val="00FA1E70"/>
    <w:rsid w:val="00FA546C"/>
    <w:rsid w:val="00FB10A8"/>
    <w:rsid w:val="00FB1B76"/>
    <w:rsid w:val="00FB356F"/>
    <w:rsid w:val="00FD0BC3"/>
    <w:rsid w:val="00FD18E4"/>
    <w:rsid w:val="00FD1A5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BC0B2C"/>
    <w:pPr>
      <w:overflowPunct/>
      <w:autoSpaceDE/>
      <w:autoSpaceDN/>
      <w:adjustRightInd/>
      <w:spacing w:after="120"/>
      <w:jc w:val="both"/>
      <w:textAlignment w:val="auto"/>
    </w:pPr>
    <w:rPr>
      <w:rFonts w:ascii="Times" w:eastAsia="Batang" w:hAnsi="Times"/>
      <w:szCs w:val="24"/>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C0B2C"/>
    <w:rPr>
      <w:rFonts w:ascii="Times" w:eastAsia="Batang" w:hAnsi="Times" w:cs="Times New Roman"/>
      <w:sz w:val="20"/>
      <w:szCs w:val="24"/>
      <w:lang w:val="en-GB"/>
    </w:rPr>
  </w:style>
  <w:style w:type="paragraph" w:styleId="NormalWeb">
    <w:name w:val="Normal (Web)"/>
    <w:basedOn w:val="Normal"/>
    <w:uiPriority w:val="99"/>
    <w:unhideWhenUsed/>
    <w:rsid w:val="00543B21"/>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543B21"/>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BodyTextChar"/>
    <w:link w:val="IvDbodytext"/>
    <w:rsid w:val="00543B21"/>
    <w:rPr>
      <w:rFonts w:ascii="Arial" w:eastAsia="Times New Roman" w:hAnsi="Arial" w:cs="Times New Roman"/>
      <w:spacing w:val="2"/>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794396509">
      <w:bodyDiv w:val="1"/>
      <w:marLeft w:val="0"/>
      <w:marRight w:val="0"/>
      <w:marTop w:val="0"/>
      <w:marBottom w:val="0"/>
      <w:divBdr>
        <w:top w:val="none" w:sz="0" w:space="0" w:color="auto"/>
        <w:left w:val="none" w:sz="0" w:space="0" w:color="auto"/>
        <w:bottom w:val="none" w:sz="0" w:space="0" w:color="auto"/>
        <w:right w:val="none" w:sz="0" w:space="0" w:color="auto"/>
      </w:divBdr>
      <w:divsChild>
        <w:div w:id="1433478900">
          <w:marLeft w:val="0"/>
          <w:marRight w:val="0"/>
          <w:marTop w:val="0"/>
          <w:marBottom w:val="0"/>
          <w:divBdr>
            <w:top w:val="none" w:sz="0" w:space="0" w:color="auto"/>
            <w:left w:val="none" w:sz="0" w:space="0" w:color="auto"/>
            <w:bottom w:val="none" w:sz="0" w:space="0" w:color="auto"/>
            <w:right w:val="none" w:sz="0" w:space="0" w:color="auto"/>
          </w:divBdr>
          <w:divsChild>
            <w:div w:id="1429734379">
              <w:marLeft w:val="660"/>
              <w:marRight w:val="0"/>
              <w:marTop w:val="0"/>
              <w:marBottom w:val="0"/>
              <w:divBdr>
                <w:top w:val="none" w:sz="0" w:space="0" w:color="auto"/>
                <w:left w:val="none" w:sz="0" w:space="0" w:color="auto"/>
                <w:bottom w:val="none" w:sz="0" w:space="0" w:color="auto"/>
                <w:right w:val="none" w:sz="0" w:space="0" w:color="auto"/>
              </w:divBdr>
              <w:divsChild>
                <w:div w:id="1751660150">
                  <w:marLeft w:val="0"/>
                  <w:marRight w:val="225"/>
                  <w:marTop w:val="75"/>
                  <w:marBottom w:val="0"/>
                  <w:divBdr>
                    <w:top w:val="none" w:sz="0" w:space="0" w:color="auto"/>
                    <w:left w:val="none" w:sz="0" w:space="0" w:color="auto"/>
                    <w:bottom w:val="none" w:sz="0" w:space="0" w:color="auto"/>
                    <w:right w:val="none" w:sz="0" w:space="0" w:color="auto"/>
                  </w:divBdr>
                  <w:divsChild>
                    <w:div w:id="1952936367">
                      <w:marLeft w:val="0"/>
                      <w:marRight w:val="0"/>
                      <w:marTop w:val="0"/>
                      <w:marBottom w:val="0"/>
                      <w:divBdr>
                        <w:top w:val="none" w:sz="0" w:space="0" w:color="auto"/>
                        <w:left w:val="none" w:sz="0" w:space="0" w:color="auto"/>
                        <w:bottom w:val="none" w:sz="0" w:space="0" w:color="auto"/>
                        <w:right w:val="none" w:sz="0" w:space="0" w:color="auto"/>
                      </w:divBdr>
                      <w:divsChild>
                        <w:div w:id="138872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5C74E-CA55-4960-B64D-D732F6FF7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703</Words>
  <Characters>4009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Majmundar, Milap</cp:lastModifiedBy>
  <cp:revision>2</cp:revision>
  <dcterms:created xsi:type="dcterms:W3CDTF">2017-06-17T02:42:00Z</dcterms:created>
  <dcterms:modified xsi:type="dcterms:W3CDTF">2017-06-17T02:42:00Z</dcterms:modified>
</cp:coreProperties>
</file>